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60"/>
        <w:jc w:val="center"/>
      </w:pPr>
      <w:r>
        <w:rPr>
          <w:rFonts w:ascii="Times New Roman" w:hAnsi="Times New Roman"/>
          <w:b/>
          <w:color w:val="222222"/>
          <w:sz w:val="30"/>
        </w:rPr>
        <w:t>Universidad Tecnológica Nacional</w:t>
      </w:r>
    </w:p>
    <w:p>
      <w:pPr>
        <w:jc w:val="center"/>
      </w:pPr>
      <w:r>
        <w:rPr>
          <w:rFonts w:ascii="Times New Roman" w:hAnsi="Times New Roman"/>
          <w:b/>
          <w:color w:val="222222"/>
          <w:sz w:val="26"/>
        </w:rPr>
        <w:t>Facultad Regional Buenos Aires</w:t>
      </w:r>
    </w:p>
    <w:p>
      <w:pPr>
        <w:spacing w:before="760"/>
        <w:jc w:val="center"/>
      </w:pPr>
      <w:r>
        <w:rPr>
          <w:rFonts w:ascii="Times New Roman" w:hAnsi="Times New Roman"/>
          <w:b/>
          <w:color w:val="222222"/>
          <w:sz w:val="44"/>
        </w:rPr>
        <w:t>Optimización de ubicaciones de parques solares mediante algoritmos genéticos</w:t>
      </w:r>
    </w:p>
    <w:p>
      <w:pPr>
        <w:spacing w:before="200"/>
        <w:jc w:val="center"/>
      </w:pPr>
      <w:r>
        <w:rPr>
          <w:rFonts w:ascii="Times New Roman" w:hAnsi="Times New Roman"/>
          <w:i/>
          <w:color w:val="222222"/>
          <w:sz w:val="28"/>
        </w:rPr>
        <w:t>Documento guía de la investigación y concreción del modelo</w:t>
      </w:r>
    </w:p>
    <w:p>
      <w:pPr>
        <w:spacing w:before="700"/>
        <w:jc w:val="center"/>
      </w:pPr>
      <w:r>
        <w:rPr>
          <w:rFonts w:ascii="Times New Roman" w:hAnsi="Times New Roman"/>
          <w:b/>
          <w:color w:val="222222"/>
          <w:sz w:val="24"/>
        </w:rPr>
        <w:t>Asignatura Algoritmos Genéticos</w:t>
      </w:r>
    </w:p>
    <w:tbl>
      <w:tblPr>
        <w:tblStyle w:val="TableGrid"/>
        <w:tblW w:type="dxa" w:w="7938"/>
        <w:jc w:val="center"/>
        <w:tblLayout w:type="fixed"/>
        <w:tblLook w:firstColumn="1" w:firstRow="1" w:lastColumn="0" w:lastRow="0" w:noHBand="0" w:noVBand="1" w:val="04A0"/>
      </w:tblPr>
      <w:tblGrid>
        <w:gridCol w:w="4536"/>
        <w:gridCol w:w="3402"/>
      </w:tblGrid>
      <w:tr>
        <w:trPr>
          <w:tblHeader w:val="true"/>
        </w:trPr>
        <w:tc>
          <w:tcPr>
            <w:tcW w:type="dxa" w:w="4536"/>
            <w:shd w:fill="E8E8E8"/>
            <w:tcMar>
              <w:top w:w="70" w:type="dxa"/>
              <w:start w:w="90" w:type="dxa"/>
              <w:bottom w:w="70" w:type="dxa"/>
              <w:end w:w="90" w:type="dxa"/>
            </w:tcMar>
            <w:vAlign w:val="center"/>
          </w:tcPr>
          <w:p>
            <w:pPr>
              <w:spacing w:after="0"/>
              <w:jc w:val="center"/>
            </w:pPr>
            <w:r>
              <w:rPr>
                <w:rFonts w:ascii="Times New Roman" w:hAnsi="Times New Roman"/>
                <w:b/>
                <w:color w:val="222222"/>
                <w:sz w:val="22"/>
              </w:rPr>
              <w:t>Integrantes</w:t>
            </w:r>
          </w:p>
        </w:tc>
        <w:tc>
          <w:tcPr>
            <w:tcW w:type="dxa" w:w="3402"/>
            <w:shd w:fill="E8E8E8"/>
            <w:tcMar>
              <w:top w:w="70" w:type="dxa"/>
              <w:start w:w="90" w:type="dxa"/>
              <w:bottom w:w="70" w:type="dxa"/>
              <w:end w:w="90" w:type="dxa"/>
            </w:tcMar>
            <w:vAlign w:val="center"/>
          </w:tcPr>
          <w:p>
            <w:pPr>
              <w:spacing w:after="0"/>
              <w:jc w:val="center"/>
            </w:pPr>
            <w:r>
              <w:rPr>
                <w:rFonts w:ascii="Times New Roman" w:hAnsi="Times New Roman"/>
                <w:b/>
                <w:color w:val="222222"/>
                <w:sz w:val="22"/>
              </w:rPr>
              <w:t>Legajos</w:t>
            </w:r>
          </w:p>
        </w:tc>
      </w:tr>
      <w:tr>
        <w:tc>
          <w:tcPr>
            <w:tcW w:type="dxa" w:w="4536"/>
            <w:tcMar>
              <w:top w:w="70" w:type="dxa"/>
              <w:start w:w="90" w:type="dxa"/>
              <w:bottom w:w="70" w:type="dxa"/>
              <w:end w:w="90" w:type="dxa"/>
            </w:tcMar>
            <w:vAlign w:val="center"/>
          </w:tcPr>
          <w:p>
            <w:pPr>
              <w:spacing w:after="0"/>
            </w:pPr>
            <w:r>
              <w:rPr>
                <w:rFonts w:ascii="Times New Roman" w:hAnsi="Times New Roman"/>
                <w:color w:val="222222"/>
                <w:sz w:val="22"/>
              </w:rPr>
            </w:r>
          </w:p>
        </w:tc>
        <w:tc>
          <w:tcPr>
            <w:tcW w:type="dxa" w:w="3402"/>
            <w:tcMar>
              <w:top w:w="70" w:type="dxa"/>
              <w:start w:w="90" w:type="dxa"/>
              <w:bottom w:w="70" w:type="dxa"/>
              <w:end w:w="90" w:type="dxa"/>
            </w:tcMar>
            <w:vAlign w:val="center"/>
          </w:tcPr>
          <w:p>
            <w:pPr>
              <w:spacing w:after="0"/>
            </w:pPr>
            <w:r>
              <w:rPr>
                <w:rFonts w:ascii="Times New Roman" w:hAnsi="Times New Roman"/>
                <w:color w:val="222222"/>
                <w:sz w:val="22"/>
              </w:rPr>
            </w:r>
          </w:p>
        </w:tc>
      </w:tr>
      <w:tr>
        <w:tc>
          <w:tcPr>
            <w:tcW w:type="dxa" w:w="4536"/>
            <w:tcMar>
              <w:top w:w="70" w:type="dxa"/>
              <w:start w:w="90" w:type="dxa"/>
              <w:bottom w:w="70" w:type="dxa"/>
              <w:end w:w="90" w:type="dxa"/>
            </w:tcMar>
            <w:vAlign w:val="center"/>
          </w:tcPr>
          <w:p>
            <w:pPr>
              <w:spacing w:after="0"/>
            </w:pPr>
            <w:r>
              <w:rPr>
                <w:rFonts w:ascii="Times New Roman" w:hAnsi="Times New Roman"/>
                <w:color w:val="222222"/>
                <w:sz w:val="22"/>
              </w:rPr>
            </w:r>
          </w:p>
        </w:tc>
        <w:tc>
          <w:tcPr>
            <w:tcW w:type="dxa" w:w="3402"/>
            <w:tcMar>
              <w:top w:w="70" w:type="dxa"/>
              <w:start w:w="90" w:type="dxa"/>
              <w:bottom w:w="70" w:type="dxa"/>
              <w:end w:w="90" w:type="dxa"/>
            </w:tcMar>
            <w:vAlign w:val="center"/>
          </w:tcPr>
          <w:p>
            <w:pPr>
              <w:spacing w:after="0"/>
            </w:pPr>
            <w:r>
              <w:rPr>
                <w:rFonts w:ascii="Times New Roman" w:hAnsi="Times New Roman"/>
                <w:color w:val="222222"/>
                <w:sz w:val="22"/>
              </w:rPr>
            </w:r>
          </w:p>
        </w:tc>
      </w:tr>
    </w:tbl>
    <w:p>
      <w:pPr>
        <w:spacing w:before="700"/>
        <w:jc w:val="center"/>
      </w:pPr>
      <w:r>
        <w:rPr>
          <w:rFonts w:ascii="Times New Roman" w:hAnsi="Times New Roman"/>
          <w:color w:val="222222"/>
          <w:sz w:val="24"/>
        </w:rPr>
        <w:t>Ciclo lectivo 2026</w:t>
      </w:r>
    </w:p>
    <w:p>
      <w:r>
        <w:br w:type="page"/>
      </w:r>
    </w:p>
    <w:p>
      <w:pPr>
        <w:pStyle w:val="Heading1"/>
        <w:keepNext/>
        <w:keepLines/>
      </w:pPr>
      <w:r>
        <w:t>Índice de contenidos</w:t>
      </w:r>
    </w:p>
    <w:p>
      <w:pPr>
        <w:spacing w:after="80"/>
        <w:ind w:left="170"/>
      </w:pPr>
      <w:r>
        <w:rPr>
          <w:rFonts w:ascii="Times New Roman" w:hAnsi="Times New Roman"/>
          <w:color w:val="222222"/>
          <w:sz w:val="23"/>
        </w:rPr>
        <w:t>1 Denominación del proyecto</w:t>
      </w:r>
    </w:p>
    <w:p>
      <w:pPr>
        <w:spacing w:after="80"/>
        <w:ind w:left="170"/>
      </w:pPr>
      <w:r>
        <w:rPr>
          <w:rFonts w:ascii="Times New Roman" w:hAnsi="Times New Roman"/>
          <w:color w:val="222222"/>
          <w:sz w:val="23"/>
        </w:rPr>
        <w:t>2 Situación problemática</w:t>
      </w:r>
    </w:p>
    <w:p>
      <w:pPr>
        <w:spacing w:after="80"/>
        <w:ind w:left="170"/>
      </w:pPr>
      <w:r>
        <w:rPr>
          <w:rFonts w:ascii="Times New Roman" w:hAnsi="Times New Roman"/>
          <w:color w:val="222222"/>
          <w:sz w:val="23"/>
        </w:rPr>
        <w:t>3 Problema de investigación</w:t>
      </w:r>
    </w:p>
    <w:p>
      <w:pPr>
        <w:spacing w:after="80"/>
        <w:ind w:left="170"/>
      </w:pPr>
      <w:r>
        <w:rPr>
          <w:rFonts w:ascii="Times New Roman" w:hAnsi="Times New Roman"/>
          <w:color w:val="222222"/>
          <w:sz w:val="23"/>
        </w:rPr>
        <w:t>4 Objetivos de la investigación</w:t>
      </w:r>
    </w:p>
    <w:p>
      <w:pPr>
        <w:spacing w:after="80"/>
        <w:ind w:left="170"/>
      </w:pPr>
      <w:r>
        <w:rPr>
          <w:rFonts w:ascii="Times New Roman" w:hAnsi="Times New Roman"/>
          <w:color w:val="222222"/>
          <w:sz w:val="23"/>
        </w:rPr>
        <w:t>5 Hipótesis y alcance</w:t>
      </w:r>
    </w:p>
    <w:p>
      <w:pPr>
        <w:spacing w:after="80"/>
        <w:ind w:left="170"/>
      </w:pPr>
      <w:r>
        <w:rPr>
          <w:rFonts w:ascii="Times New Roman" w:hAnsi="Times New Roman"/>
          <w:color w:val="222222"/>
          <w:sz w:val="23"/>
        </w:rPr>
        <w:t>6 Marco teórico</w:t>
      </w:r>
    </w:p>
    <w:p>
      <w:pPr>
        <w:spacing w:after="80"/>
        <w:ind w:left="170"/>
      </w:pPr>
      <w:r>
        <w:rPr>
          <w:rFonts w:ascii="Times New Roman" w:hAnsi="Times New Roman"/>
          <w:color w:val="222222"/>
          <w:sz w:val="23"/>
        </w:rPr>
        <w:t>7 Concreción del modelo</w:t>
      </w:r>
    </w:p>
    <w:p>
      <w:pPr>
        <w:spacing w:after="80"/>
        <w:ind w:left="170"/>
      </w:pPr>
      <w:r>
        <w:rPr>
          <w:rFonts w:ascii="Times New Roman" w:hAnsi="Times New Roman"/>
          <w:color w:val="222222"/>
          <w:sz w:val="23"/>
        </w:rPr>
        <w:t>8 Diseño experimental</w:t>
      </w:r>
    </w:p>
    <w:p>
      <w:pPr>
        <w:spacing w:after="80"/>
        <w:ind w:left="170"/>
      </w:pPr>
      <w:r>
        <w:rPr>
          <w:rFonts w:ascii="Times New Roman" w:hAnsi="Times New Roman"/>
          <w:color w:val="222222"/>
          <w:sz w:val="23"/>
        </w:rPr>
        <w:t>9 Resultados</w:t>
      </w:r>
    </w:p>
    <w:p>
      <w:pPr>
        <w:spacing w:after="80"/>
        <w:ind w:left="170"/>
      </w:pPr>
      <w:r>
        <w:rPr>
          <w:rFonts w:ascii="Times New Roman" w:hAnsi="Times New Roman"/>
          <w:color w:val="222222"/>
          <w:sz w:val="23"/>
        </w:rPr>
        <w:t>10 Discusión</w:t>
      </w:r>
    </w:p>
    <w:p>
      <w:pPr>
        <w:spacing w:after="80"/>
        <w:ind w:left="170"/>
      </w:pPr>
      <w:r>
        <w:rPr>
          <w:rFonts w:ascii="Times New Roman" w:hAnsi="Times New Roman"/>
          <w:color w:val="222222"/>
          <w:sz w:val="23"/>
        </w:rPr>
        <w:t>11 Conclusiones</w:t>
      </w:r>
    </w:p>
    <w:p>
      <w:pPr>
        <w:spacing w:after="80"/>
        <w:ind w:left="170"/>
      </w:pPr>
      <w:r>
        <w:rPr>
          <w:rFonts w:ascii="Times New Roman" w:hAnsi="Times New Roman"/>
          <w:color w:val="222222"/>
          <w:sz w:val="23"/>
        </w:rPr>
        <w:t>12 Líneas de continuidad</w:t>
      </w:r>
    </w:p>
    <w:p>
      <w:pPr>
        <w:spacing w:after="80"/>
        <w:ind w:left="170"/>
      </w:pPr>
      <w:r>
        <w:rPr>
          <w:rFonts w:ascii="Times New Roman" w:hAnsi="Times New Roman"/>
          <w:color w:val="222222"/>
          <w:sz w:val="23"/>
        </w:rPr>
        <w:t>Referencias</w:t>
      </w:r>
    </w:p>
    <w:p>
      <w:pPr>
        <w:spacing w:after="80"/>
        <w:ind w:left="170"/>
      </w:pPr>
      <w:r>
        <w:rPr>
          <w:rFonts w:ascii="Times New Roman" w:hAnsi="Times New Roman"/>
          <w:color w:val="222222"/>
          <w:sz w:val="23"/>
        </w:rPr>
        <w:t>Anexo técnico</w:t>
      </w:r>
    </w:p>
    <w:p>
      <w:pPr>
        <w:pStyle w:val="Heading1"/>
        <w:keepNext/>
        <w:keepLines/>
      </w:pPr>
      <w:r>
        <w:t>Resumen ejecutivo</w:t>
      </w:r>
    </w:p>
    <w:p>
      <w:r>
        <w:rPr>
          <w:rFonts w:ascii="Times New Roman" w:hAnsi="Times New Roman"/>
          <w:i w:val="0"/>
          <w:color w:val="222222"/>
          <w:sz w:val="24"/>
        </w:rPr>
        <w:t>Este proyecto desarrolla y verifica un prototipo en Python que clasifica celdas de una grilla sobre la provincia de Santa Fe para identificar ubicaciones potencialmente favorables para un parque solar fotovoltaico de dos hectáreas. El modelo integra radiación solar de ERA5-Land ARCO, distancia a líneas eléctricas, distancia a estaciones transformadoras y una exclusión urbana. La corrida analizada evaluó 1788 celdas de 9 km, excluyó 720 por intersección con áreas urbanas aproximadas y optimizó las 1068 restantes. La mejor solución hallada por el algoritmo fue la celda 104, con fitness 0.7900 y radiación anual estimada de 1854.0 kWh/m²/año. El TOP 10 genético compartió 4 posiciones con el TOP 10 exhaustivo y no recuperó la mejor alternativa de referencia, la celda 103. La salida constituye una herramienta de preselección y no una decisión de inversión.</w:t>
      </w:r>
    </w:p>
    <w:p>
      <w:pPr>
        <w:pStyle w:val="Heading1"/>
        <w:keepNext/>
        <w:keepLines/>
      </w:pPr>
      <w:r>
        <w:t>1 Denominación del proyecto</w:t>
      </w:r>
    </w:p>
    <w:p>
      <w:r>
        <w:rPr>
          <w:rFonts w:ascii="Times New Roman" w:hAnsi="Times New Roman"/>
          <w:i w:val="0"/>
          <w:color w:val="222222"/>
          <w:sz w:val="24"/>
        </w:rPr>
        <w:t>Optimización de ubicaciones potenciales para parques solares fotovoltaicos en Santa Fe mediante algoritmos genéticos y análisis geoespacial.</w:t>
      </w:r>
    </w:p>
    <w:p>
      <w:pPr>
        <w:pStyle w:val="Heading1"/>
        <w:keepNext/>
        <w:keepLines/>
      </w:pPr>
      <w:r>
        <w:t>2 Situación problemática</w:t>
      </w:r>
    </w:p>
    <w:p>
      <w:r>
        <w:rPr>
          <w:rFonts w:ascii="Times New Roman" w:hAnsi="Times New Roman"/>
          <w:i w:val="0"/>
          <w:color w:val="222222"/>
          <w:sz w:val="24"/>
        </w:rPr>
        <w:t>La selección preliminar de un sitio para generación fotovoltaica es un problema espacial de decisión multicriterio. Una ubicación puede recibir buena radiación y, al mismo tiempo, encontrarse lejos de la infraestructura eléctrica, dentro de una zona poblada o sobre un terreno que no admite el desarrollo. La bibliografía de selección de sitios solares combina información geográfica con criterios técnicos, ambientales y económicos, y advierte que los resultados dependen tanto de la calidad de las capas como de los pesos asignados [4]-[6].</w:t>
      </w:r>
    </w:p>
    <w:p>
      <w:r>
        <w:rPr>
          <w:rFonts w:ascii="Times New Roman" w:hAnsi="Times New Roman"/>
          <w:i w:val="0"/>
          <w:color w:val="222222"/>
          <w:sz w:val="24"/>
        </w:rPr>
        <w:t>En Santa Fe existen fuentes públicas para límites administrativos, asentamientos, redes eléctricas y estaciones transformadoras, pero presentan escalas, geometrías y coberturas diferentes [9]-[12]. BAHRA representa los asentamientos como puntos; por lo tanto, no entrega polígonos urbanos listos para excluir. La red de distribución y las estaciones transformadoras provienen de conjuntos distintos. La radiación solar se obtiene de un reanálisis climático y no de mediciones de campo. Integrar esas fuentes exige transformar sistemas de coordenadas, validar capas, normalizar métricas y conservar la trazabilidad de cada decisión.</w:t>
      </w:r>
    </w:p>
    <w:p>
      <w:r>
        <w:rPr>
          <w:rFonts w:ascii="Times New Roman" w:hAnsi="Times New Roman"/>
          <w:i w:val="0"/>
          <w:color w:val="222222"/>
          <w:sz w:val="24"/>
        </w:rPr>
        <w:t>El proyecto aborda ese problema con un producto mínimo viable reproducible. La provincia se divide en celdas; cada celda recibe métricas de radiación y proximidad a infraestructura; las celdas que intersectan la aproximación de área urbana quedan excluidas. El algoritmo genético trabaja sobre candidatos válidos y devuelve un ranking. La salida no pretende establecer la ubicación económicamente óptima, sino reducir el espacio de búsqueda y producir evidencia verificable para estudios posteriores.</w:t>
      </w:r>
    </w:p>
    <w:p>
      <w:pPr>
        <w:pStyle w:val="Heading1"/>
        <w:keepNext/>
        <w:keepLines/>
      </w:pPr>
      <w:r>
        <w:t>3 Problema de investigación</w:t>
      </w:r>
    </w:p>
    <w:p>
      <w:r>
        <w:rPr>
          <w:rFonts w:ascii="Times New Roman" w:hAnsi="Times New Roman"/>
          <w:i w:val="0"/>
          <w:color w:val="222222"/>
          <w:sz w:val="24"/>
        </w:rPr>
        <w:t>¿Cómo integrar datos climáticos y geoespaciales heterogéneos en un algoritmo genético reproducible que permita identificar y ordenar, dentro de Santa Fe, celdas potencialmente favorables para un parque solar fotovoltaico de dos hectáreas, respetando la exclusión urbana y explicitando las limitaciones que impiden interpretar el resultado como una decisión definitiva de localización?</w:t>
      </w:r>
    </w:p>
    <w:p>
      <w:pPr>
        <w:pStyle w:val="Heading1"/>
        <w:keepNext/>
        <w:keepLines/>
      </w:pPr>
      <w:r>
        <w:t>4 Objetivos de la investigación</w:t>
      </w:r>
    </w:p>
    <w:p>
      <w:pPr>
        <w:pStyle w:val="Heading2"/>
        <w:keepNext/>
        <w:keepLines/>
      </w:pPr>
      <w:r>
        <w:t>4 1 Objetivo general</w:t>
      </w:r>
    </w:p>
    <w:p>
      <w:r>
        <w:rPr>
          <w:rFonts w:ascii="Times New Roman" w:hAnsi="Times New Roman"/>
          <w:i w:val="0"/>
          <w:color w:val="222222"/>
          <w:sz w:val="24"/>
        </w:rPr>
        <w:t>Desarrollar y verificar un prototipo de optimización geoespacial basado en algoritmos genéticos que produzca un ranking trazable de ubicaciones potencialmente favorables para parques solares fotovoltaicos en Santa Fe.</w:t>
      </w:r>
    </w:p>
    <w:p>
      <w:pPr>
        <w:pStyle w:val="Heading2"/>
        <w:keepNext/>
        <w:keepLines/>
      </w:pPr>
      <w:r>
        <w:t>4 2 Objetivos específicos</w:t>
      </w:r>
    </w:p>
    <w:p>
      <w:pPr>
        <w:pStyle w:val="ListNumber"/>
        <w:spacing w:after="60"/>
      </w:pPr>
      <w:r>
        <w:rPr>
          <w:rFonts w:ascii="Times New Roman" w:hAnsi="Times New Roman"/>
          <w:color w:val="222222"/>
          <w:sz w:val="24"/>
        </w:rPr>
        <w:t>Integrar fuentes oficiales de límites, asentamientos e infraestructura eléctrica con radiación ERA5-Land ARCO.</w:t>
      </w:r>
    </w:p>
    <w:p>
      <w:pPr>
        <w:pStyle w:val="ListNumber"/>
        <w:spacing w:after="60"/>
      </w:pPr>
      <w:r>
        <w:rPr>
          <w:rFonts w:ascii="Times New Roman" w:hAnsi="Times New Roman"/>
          <w:color w:val="222222"/>
          <w:sz w:val="24"/>
        </w:rPr>
        <w:t>Construir una grilla configurable y calcular, para cada celda, radiación estimada y distancias a líneas eléctricas y estaciones transformadoras.</w:t>
      </w:r>
    </w:p>
    <w:p>
      <w:pPr>
        <w:pStyle w:val="ListNumber"/>
        <w:spacing w:after="60"/>
      </w:pPr>
      <w:r>
        <w:rPr>
          <w:rFonts w:ascii="Times New Roman" w:hAnsi="Times New Roman"/>
          <w:color w:val="222222"/>
          <w:sz w:val="24"/>
        </w:rPr>
        <w:t>Excluir del conjunto de búsqueda las celdas que intersecten áreas urbanas aproximadas mediante un buffer configurable.</w:t>
      </w:r>
    </w:p>
    <w:p>
      <w:pPr>
        <w:pStyle w:val="ListNumber"/>
        <w:spacing w:after="60"/>
      </w:pPr>
      <w:r>
        <w:rPr>
          <w:rFonts w:ascii="Times New Roman" w:hAnsi="Times New Roman"/>
          <w:color w:val="222222"/>
          <w:sz w:val="24"/>
        </w:rPr>
        <w:t>Definir una función de aptitud normalizada y configurable cuyos pesos sumen uno.</w:t>
      </w:r>
    </w:p>
    <w:p>
      <w:pPr>
        <w:pStyle w:val="ListNumber"/>
        <w:spacing w:after="60"/>
      </w:pPr>
      <w:r>
        <w:rPr>
          <w:rFonts w:ascii="Times New Roman" w:hAnsi="Times New Roman"/>
          <w:color w:val="222222"/>
          <w:sz w:val="24"/>
        </w:rPr>
        <w:t>Implementar selección por torneo, elitismo, cruce, mutación y un registro de mejores soluciones.</w:t>
      </w:r>
    </w:p>
    <w:p>
      <w:pPr>
        <w:pStyle w:val="ListNumber"/>
        <w:spacing w:after="60"/>
      </w:pPr>
      <w:r>
        <w:rPr>
          <w:rFonts w:ascii="Times New Roman" w:hAnsi="Times New Roman"/>
          <w:color w:val="222222"/>
          <w:sz w:val="24"/>
        </w:rPr>
        <w:t>Comparar el TOP 10 del algoritmo genético con el ranking exhaustivo de las celdas válidas.</w:t>
      </w:r>
    </w:p>
    <w:p>
      <w:pPr>
        <w:pStyle w:val="ListNumber"/>
        <w:spacing w:after="60"/>
      </w:pPr>
      <w:r>
        <w:rPr>
          <w:rFonts w:ascii="Times New Roman" w:hAnsi="Times New Roman"/>
          <w:color w:val="222222"/>
          <w:sz w:val="24"/>
        </w:rPr>
        <w:t>Documentar la arquitectura, los parámetros, las fuentes, las salidas y las limitaciones del prototipo.</w:t>
      </w:r>
    </w:p>
    <w:p>
      <w:pPr>
        <w:pStyle w:val="Heading1"/>
        <w:keepNext/>
        <w:keepLines/>
      </w:pPr>
      <w:r>
        <w:t>5 Hipótesis y alcance</w:t>
      </w:r>
    </w:p>
    <w:p>
      <w:r>
        <w:rPr>
          <w:rFonts w:ascii="Times New Roman" w:hAnsi="Times New Roman"/>
          <w:i w:val="0"/>
          <w:color w:val="222222"/>
          <w:sz w:val="24"/>
        </w:rPr>
        <w:t>Hipótesis de trabajo. Si las métricas de radiación y proximidad a infraestructura se normalizan de manera consistente, las restricciones urbanas se aplican antes de la búsqueda y la ejecución utiliza una semilla fija, entonces un algoritmo genético puede recuperar de forma reproducible las celdas con mayor aptitud del conjunto analizado.</w:t>
      </w:r>
    </w:p>
    <w:p>
      <w:r>
        <w:rPr>
          <w:rFonts w:ascii="Times New Roman" w:hAnsi="Times New Roman"/>
          <w:i w:val="0"/>
          <w:color w:val="222222"/>
          <w:sz w:val="24"/>
        </w:rPr>
        <w:t>La hipótesis se evalúa en una corrida sobre Santa Fe con celdas de 9 km y pesos iniciales de 0,50 para radiación, 0,20 para proximidad a líneas y 0,30 para proximidad a transformadores. La superficie nominal de dos hectáreas se conserva como requisito de trazabilidad; el MVP no verifica continuidad ni disponibilidad física del terreno. El alcance es de preselección regional.</w:t>
      </w:r>
    </w:p>
    <w:p>
      <w:pPr>
        <w:pStyle w:val="Heading1"/>
        <w:keepNext/>
        <w:keepLines/>
      </w:pPr>
      <w:r>
        <w:t>6 Marco teórico</w:t>
      </w:r>
    </w:p>
    <w:p>
      <w:pPr>
        <w:pStyle w:val="Heading2"/>
        <w:keepNext/>
        <w:keepLines/>
      </w:pPr>
      <w:r>
        <w:t>6 1 Selección espacial multicriterio</w:t>
      </w:r>
    </w:p>
    <w:p>
      <w:r>
        <w:rPr>
          <w:rFonts w:ascii="Times New Roman" w:hAnsi="Times New Roman"/>
          <w:i w:val="0"/>
          <w:color w:val="222222"/>
          <w:sz w:val="24"/>
        </w:rPr>
        <w:t>Un problema de localización convierte alternativas geográficas en unidades comparables mediante criterios y restricciones. Los sistemas de información geográfica permiten superponer capas, medir distancias y excluir zonas; el análisis multicriterio combina esas evidencias en una regla de decisión [4]. En plantas solares, la irradiación, la proximidad a la red, las restricciones de uso del suelo y la accesibilidad aparecen de forma recurrente [5], [6]. El presente modelo adopta una suma ponderada de tres criterios activos y separa la exclusión urbana como una restricción dura.</w:t>
      </w:r>
    </w:p>
    <w:p>
      <w:pPr>
        <w:pStyle w:val="Heading2"/>
        <w:keepNext/>
        <w:keepLines/>
      </w:pPr>
      <w:r>
        <w:t>6 2 Algoritmos genéticos</w:t>
      </w:r>
    </w:p>
    <w:p>
      <w:r>
        <w:rPr>
          <w:rFonts w:ascii="Times New Roman" w:hAnsi="Times New Roman"/>
          <w:i w:val="0"/>
          <w:color w:val="222222"/>
          <w:sz w:val="24"/>
        </w:rPr>
        <w:t>Los algoritmos genéticos son métodos de búsqueda poblacional inspirados en selección, recombinación y mutación [1]-[3]. Cada individuo codifica una solución; la función de aptitud cuantifica su calidad; la selección aumenta la presencia de individuos aptos; el cruce produce descendencia y la mutación mantiene diversidad. El elitismo conserva las mejores soluciones. Al usar una semilla pseudoaleatoria fija se obtiene repetibilidad, aunque no desaparece la naturaleza heurística del método.</w:t>
      </w:r>
    </w:p>
    <w:p>
      <w:r>
        <w:rPr>
          <w:rFonts w:ascii="Times New Roman" w:hAnsi="Times New Roman"/>
          <w:i w:val="0"/>
          <w:color w:val="222222"/>
          <w:sz w:val="24"/>
        </w:rPr>
        <w:t>En este prototipo, un individuo es un índice entero que referencia una fila del conjunto fijo de celdas válidas. La selección se realiza por torneos de tres individuos. El cruce mezcla dos índices y redondea el resultado; la mutación reemplaza el índice por otro candidato uniforme. Un registro de mejores soluciones conserva los individuos observados durante toda la corrida. Esta representación es compacta, pero el orden de las filas no es una variable geográfica continua; por eso el cruce aritmético no garantiza proximidad espacial ni semántica. Esta limitación se considera al interpretar los resultados.</w:t>
      </w:r>
    </w:p>
    <w:p>
      <w:pPr>
        <w:pStyle w:val="Heading2"/>
        <w:keepNext/>
        <w:keepLines/>
      </w:pPr>
      <w:r>
        <w:t>6 3 Función de aptitud</w:t>
      </w:r>
    </w:p>
    <w:p>
      <w:r>
        <w:rPr>
          <w:rFonts w:ascii="Times New Roman" w:hAnsi="Times New Roman"/>
          <w:i w:val="0"/>
          <w:color w:val="222222"/>
          <w:sz w:val="24"/>
        </w:rPr>
        <w:t>Las métricas se normalizan al intervalo [0, 1]. Para radiación, el valor más alto recibe uno. Para distancias, la normalización se invierte para que la menor distancia reciba uno. Con pesos ws, wl y wt, la aptitud se calcula como:</w:t>
      </w:r>
    </w:p>
    <w:p>
      <w:pPr>
        <w:jc w:val="center"/>
      </w:pPr>
      <w:r>
        <w:rPr>
          <w:rFonts w:ascii="Times New Roman" w:hAnsi="Times New Roman"/>
          <w:i/>
          <w:color w:val="222222"/>
          <w:sz w:val="23"/>
        </w:rPr>
        <w:t>fitness = ws · radiación + wl · proximidad a líneas + wt · proximidad a transformadores</w:t>
      </w:r>
    </w:p>
    <w:p>
      <w:r>
        <w:rPr>
          <w:rFonts w:ascii="Times New Roman" w:hAnsi="Times New Roman"/>
          <w:i w:val="0"/>
          <w:color w:val="222222"/>
          <w:sz w:val="24"/>
        </w:rPr>
        <w:t>Los pesos deben sumar uno. Un peso nulo desactiva el criterio y evita requerir su fuente. Esta decisión permite ensayar configuraciones, pero los valores empleados en la corrida son iniciales y no han sido calibrados mediante consulta a expertos, análisis de sensibilidad ni evidencia económica.</w:t>
      </w:r>
    </w:p>
    <w:p>
      <w:pPr>
        <w:pStyle w:val="Heading2"/>
        <w:keepNext/>
        <w:keepLines/>
      </w:pPr>
      <w:r>
        <w:t>6 4 Radiación solar y ERA5 Land</w:t>
      </w:r>
    </w:p>
    <w:p>
      <w:r>
        <w:rPr>
          <w:rFonts w:ascii="Times New Roman" w:hAnsi="Times New Roman"/>
          <w:i w:val="0"/>
          <w:color w:val="222222"/>
          <w:sz w:val="24"/>
        </w:rPr>
        <w:t>ERA5-Land es un reanálisis terrestre global con resolución espacial aproximada de 9 km y muestreo horario [7]. El producto ARCO permite acceder a subconjuntos de variables sin descargar archivos completos y está organizado para consultas espaciales o temporales eficientes [8]. El prototipo usa la radiación solar descendente de superficie, convierte J/m² a kWh/m² y resume enero, abril, julio y octubre desde 1970 hasta el último mes representativo disponible. Cada media mensual histórica se lleva a una media diaria, se proyecta a los días de su estación y luego se suman las cuatro estaciones. El resultado es una estimación anual basada en meses representativos, no una suma observada de los doce meses.</w:t>
      </w:r>
    </w:p>
    <w:p>
      <w:pPr>
        <w:pStyle w:val="Heading2"/>
        <w:keepNext/>
        <w:keepLines/>
      </w:pPr>
      <w:r>
        <w:t>6 5 Calidad de datos y trazabilidad</w:t>
      </w:r>
    </w:p>
    <w:p>
      <w:r>
        <w:rPr>
          <w:rFonts w:ascii="Times New Roman" w:hAnsi="Times New Roman"/>
          <w:i w:val="0"/>
          <w:color w:val="222222"/>
          <w:sz w:val="24"/>
        </w:rPr>
        <w:t>La validez del ranking depende de la correspondencia entre fuente, geometría, fecha y variable. El límite provincial proviene del IGN [9]; los asentamientos, de BAHRA [10]; las líneas y estaciones transformadoras, de la Secretaría de Energía [11], [12]. El sistema registra metadatos, usa caché, detiene el procesamiento cuando falta una capa activa y evita llamadas de red dentro del algoritmo genético. Las salidas incluyen la configuración, el período climático, los candidatos, el ranking y una advertencia de alcance.</w:t>
      </w:r>
    </w:p>
    <w:p>
      <w:pPr>
        <w:pStyle w:val="Heading1"/>
        <w:keepNext/>
        <w:keepLines/>
      </w:pPr>
      <w:r>
        <w:t>7 Concreción del modelo</w:t>
      </w:r>
    </w:p>
    <w:p>
      <w:pPr>
        <w:pStyle w:val="Heading2"/>
        <w:keepNext/>
        <w:keepLines/>
      </w:pPr>
      <w:r>
        <w:t>7 1 Arquitectura</w:t>
      </w:r>
    </w:p>
    <w:p>
      <w:pPr>
        <w:spacing w:before="100" w:after="40"/>
        <w:jc w:val="center"/>
        <w:keepNext/>
        <w:keepLines/>
      </w:pPr>
      <w:r>
        <w:drawing>
          <wp:inline xmlns:a="http://schemas.openxmlformats.org/drawingml/2006/main" xmlns:pic="http://schemas.openxmlformats.org/drawingml/2006/picture">
            <wp:extent cx="5580000" cy="2170000"/>
            <wp:docPr id="1" name="Picture 1"/>
            <wp:cNvGraphicFramePr>
              <a:graphicFrameLocks noChangeAspect="1"/>
            </wp:cNvGraphicFramePr>
            <a:graphic>
              <a:graphicData uri="http://schemas.openxmlformats.org/drawingml/2006/picture">
                <pic:pic>
                  <pic:nvPicPr>
                    <pic:cNvPr id="0" name="figura_arquitectura.png"/>
                    <pic:cNvPicPr/>
                  </pic:nvPicPr>
                  <pic:blipFill>
                    <a:blip r:embed="rId9"/>
                    <a:stretch>
                      <a:fillRect/>
                    </a:stretch>
                  </pic:blipFill>
                  <pic:spPr>
                    <a:xfrm>
                      <a:off x="0" y="0"/>
                      <a:ext cx="5580000" cy="2170000"/>
                    </a:xfrm>
                    <a:prstGeom prst="rect"/>
                  </pic:spPr>
                </pic:pic>
              </a:graphicData>
            </a:graphic>
          </wp:inline>
        </w:drawing>
      </w:r>
    </w:p>
    <w:p>
      <w:pPr>
        <w:spacing w:before="40" w:after="160"/>
        <w:jc w:val="center"/>
        <w:keepLines/>
      </w:pPr>
      <w:r>
        <w:rPr>
          <w:rFonts w:ascii="Times New Roman" w:hAnsi="Times New Roman"/>
          <w:i/>
          <w:color w:val="222222"/>
          <w:sz w:val="20"/>
        </w:rPr>
        <w:t>Figura 1 Arquitectura funcional del prototipo</w:t>
      </w:r>
    </w:p>
    <w:p>
      <w:r>
        <w:rPr>
          <w:rFonts w:ascii="Times New Roman" w:hAnsi="Times New Roman"/>
          <w:i w:val="0"/>
          <w:color w:val="222222"/>
          <w:sz w:val="24"/>
        </w:rPr>
        <w:t>La separación entre adquisición, procesamiento y optimización evita que el algoritmo dependa de servicios externos durante la búsqueda. Los módulos de ingesta descargan y validan las capas; el preprocesamiento construye la grilla, transforma coordenadas, calcula distancias y genera métricas; el repositorio persiste los datos en SQLite; el módulo genético lee únicamente candidatos válidos; el reporte produce CSV, JSON y un mapa HTML.</w:t>
      </w:r>
    </w:p>
    <w:p>
      <w:pPr>
        <w:pStyle w:val="Heading2"/>
        <w:keepNext/>
        <w:keepLines/>
      </w:pPr>
      <w:r>
        <w:t>7 2 Fuentes y transformaciones</w:t>
      </w:r>
    </w:p>
    <w:tbl>
      <w:tblPr>
        <w:tblStyle w:val="TableGrid"/>
        <w:tblW w:type="dxa" w:w="8958"/>
        <w:jc w:val="center"/>
        <w:tblLayout w:type="fixed"/>
        <w:tblLook w:firstColumn="1" w:firstRow="1" w:lastColumn="0" w:lastRow="0" w:noHBand="0" w:noVBand="1" w:val="04A0"/>
      </w:tblPr>
      <w:tblGrid>
        <w:gridCol w:w="1814"/>
        <w:gridCol w:w="2494"/>
        <w:gridCol w:w="1474"/>
        <w:gridCol w:w="3175"/>
      </w:tblGrid>
      <w:tr>
        <w:trPr>
          <w:tblHeader w:val="true"/>
        </w:trPr>
        <w:tc>
          <w:tcPr>
            <w:tcW w:type="dxa" w:w="1814"/>
            <w:shd w:fill="E8E8E8"/>
            <w:tcMar>
              <w:top w:w="70" w:type="dxa"/>
              <w:start w:w="90" w:type="dxa"/>
              <w:bottom w:w="70" w:type="dxa"/>
              <w:end w:w="90" w:type="dxa"/>
            </w:tcMar>
            <w:vAlign w:val="center"/>
          </w:tcPr>
          <w:p>
            <w:pPr>
              <w:spacing w:after="0"/>
              <w:jc w:val="center"/>
            </w:pPr>
            <w:r>
              <w:rPr>
                <w:rFonts w:ascii="Times New Roman" w:hAnsi="Times New Roman"/>
                <w:b/>
                <w:color w:val="222222"/>
                <w:sz w:val="18"/>
              </w:rPr>
              <w:t>Capa</w:t>
            </w:r>
          </w:p>
        </w:tc>
        <w:tc>
          <w:tcPr>
            <w:tcW w:type="dxa" w:w="2494"/>
            <w:shd w:fill="E8E8E8"/>
            <w:tcMar>
              <w:top w:w="70" w:type="dxa"/>
              <w:start w:w="90" w:type="dxa"/>
              <w:bottom w:w="70" w:type="dxa"/>
              <w:end w:w="90" w:type="dxa"/>
            </w:tcMar>
            <w:vAlign w:val="center"/>
          </w:tcPr>
          <w:p>
            <w:pPr>
              <w:spacing w:after="0"/>
              <w:jc w:val="center"/>
            </w:pPr>
            <w:r>
              <w:rPr>
                <w:rFonts w:ascii="Times New Roman" w:hAnsi="Times New Roman"/>
                <w:b/>
                <w:color w:val="222222"/>
                <w:sz w:val="18"/>
              </w:rPr>
              <w:t>Fuente</w:t>
            </w:r>
          </w:p>
        </w:tc>
        <w:tc>
          <w:tcPr>
            <w:tcW w:type="dxa" w:w="1474"/>
            <w:shd w:fill="E8E8E8"/>
            <w:tcMar>
              <w:top w:w="70" w:type="dxa"/>
              <w:start w:w="90" w:type="dxa"/>
              <w:bottom w:w="70" w:type="dxa"/>
              <w:end w:w="90" w:type="dxa"/>
            </w:tcMar>
            <w:vAlign w:val="center"/>
          </w:tcPr>
          <w:p>
            <w:pPr>
              <w:spacing w:after="0"/>
              <w:jc w:val="center"/>
            </w:pPr>
            <w:r>
              <w:rPr>
                <w:rFonts w:ascii="Times New Roman" w:hAnsi="Times New Roman"/>
                <w:b/>
                <w:color w:val="222222"/>
                <w:sz w:val="18"/>
              </w:rPr>
              <w:t>Geometría</w:t>
            </w:r>
          </w:p>
        </w:tc>
        <w:tc>
          <w:tcPr>
            <w:tcW w:type="dxa" w:w="3175"/>
            <w:shd w:fill="E8E8E8"/>
            <w:tcMar>
              <w:top w:w="70" w:type="dxa"/>
              <w:start w:w="90" w:type="dxa"/>
              <w:bottom w:w="70" w:type="dxa"/>
              <w:end w:w="90" w:type="dxa"/>
            </w:tcMar>
            <w:vAlign w:val="center"/>
          </w:tcPr>
          <w:p>
            <w:pPr>
              <w:spacing w:after="0"/>
              <w:jc w:val="center"/>
            </w:pPr>
            <w:r>
              <w:rPr>
                <w:rFonts w:ascii="Times New Roman" w:hAnsi="Times New Roman"/>
                <w:b/>
                <w:color w:val="222222"/>
                <w:sz w:val="18"/>
              </w:rPr>
              <w:t>Uso</w:t>
            </w:r>
          </w:p>
        </w:tc>
      </w:tr>
      <w:tr>
        <w:tc>
          <w:tcPr>
            <w:tcW w:type="dxa" w:w="1814"/>
            <w:tcMar>
              <w:top w:w="70" w:type="dxa"/>
              <w:start w:w="90" w:type="dxa"/>
              <w:bottom w:w="70" w:type="dxa"/>
              <w:end w:w="90" w:type="dxa"/>
            </w:tcMar>
            <w:vAlign w:val="center"/>
          </w:tcPr>
          <w:p>
            <w:pPr>
              <w:spacing w:after="0"/>
            </w:pPr>
            <w:r>
              <w:rPr>
                <w:rFonts w:ascii="Times New Roman" w:hAnsi="Times New Roman"/>
                <w:color w:val="222222"/>
                <w:sz w:val="18"/>
              </w:rPr>
              <w:t>Límite provincial</w:t>
            </w:r>
          </w:p>
        </w:tc>
        <w:tc>
          <w:tcPr>
            <w:tcW w:type="dxa" w:w="2494"/>
            <w:tcMar>
              <w:top w:w="70" w:type="dxa"/>
              <w:start w:w="90" w:type="dxa"/>
              <w:bottom w:w="70" w:type="dxa"/>
              <w:end w:w="90" w:type="dxa"/>
            </w:tcMar>
            <w:vAlign w:val="center"/>
          </w:tcPr>
          <w:p>
            <w:pPr>
              <w:spacing w:after="0"/>
            </w:pPr>
            <w:r>
              <w:rPr>
                <w:rFonts w:ascii="Times New Roman" w:hAnsi="Times New Roman"/>
                <w:color w:val="222222"/>
                <w:sz w:val="18"/>
              </w:rPr>
              <w:t>IGN Unidades Territoriales</w:t>
            </w:r>
          </w:p>
        </w:tc>
        <w:tc>
          <w:tcPr>
            <w:tcW w:type="dxa" w:w="1474"/>
            <w:tcMar>
              <w:top w:w="70" w:type="dxa"/>
              <w:start w:w="90" w:type="dxa"/>
              <w:bottom w:w="70" w:type="dxa"/>
              <w:end w:w="90" w:type="dxa"/>
            </w:tcMar>
            <w:vAlign w:val="center"/>
          </w:tcPr>
          <w:p>
            <w:pPr>
              <w:spacing w:after="0"/>
            </w:pPr>
            <w:r>
              <w:rPr>
                <w:rFonts w:ascii="Times New Roman" w:hAnsi="Times New Roman"/>
                <w:color w:val="222222"/>
                <w:sz w:val="18"/>
              </w:rPr>
              <w:t>Polígono</w:t>
            </w:r>
          </w:p>
        </w:tc>
        <w:tc>
          <w:tcPr>
            <w:tcW w:type="dxa" w:w="3175"/>
            <w:tcMar>
              <w:top w:w="70" w:type="dxa"/>
              <w:start w:w="90" w:type="dxa"/>
              <w:bottom w:w="70" w:type="dxa"/>
              <w:end w:w="90" w:type="dxa"/>
            </w:tcMar>
            <w:vAlign w:val="center"/>
          </w:tcPr>
          <w:p>
            <w:pPr>
              <w:spacing w:after="0"/>
            </w:pPr>
            <w:r>
              <w:rPr>
                <w:rFonts w:ascii="Times New Roman" w:hAnsi="Times New Roman"/>
                <w:color w:val="222222"/>
                <w:sz w:val="18"/>
              </w:rPr>
              <w:t>Recorte de Santa Fe</w:t>
            </w:r>
          </w:p>
        </w:tc>
      </w:tr>
      <w:tr>
        <w:tc>
          <w:tcPr>
            <w:tcW w:type="dxa" w:w="1814"/>
            <w:tcMar>
              <w:top w:w="70" w:type="dxa"/>
              <w:start w:w="90" w:type="dxa"/>
              <w:bottom w:w="70" w:type="dxa"/>
              <w:end w:w="90" w:type="dxa"/>
            </w:tcMar>
            <w:vAlign w:val="center"/>
          </w:tcPr>
          <w:p>
            <w:pPr>
              <w:spacing w:after="0"/>
            </w:pPr>
            <w:r>
              <w:rPr>
                <w:rFonts w:ascii="Times New Roman" w:hAnsi="Times New Roman"/>
                <w:color w:val="222222"/>
                <w:sz w:val="18"/>
              </w:rPr>
              <w:t>Áreas urbanas</w:t>
            </w:r>
          </w:p>
        </w:tc>
        <w:tc>
          <w:tcPr>
            <w:tcW w:type="dxa" w:w="2494"/>
            <w:tcMar>
              <w:top w:w="70" w:type="dxa"/>
              <w:start w:w="90" w:type="dxa"/>
              <w:bottom w:w="70" w:type="dxa"/>
              <w:end w:w="90" w:type="dxa"/>
            </w:tcMar>
            <w:vAlign w:val="center"/>
          </w:tcPr>
          <w:p>
            <w:pPr>
              <w:spacing w:after="0"/>
            </w:pPr>
            <w:r>
              <w:rPr>
                <w:rFonts w:ascii="Times New Roman" w:hAnsi="Times New Roman"/>
                <w:color w:val="222222"/>
                <w:sz w:val="18"/>
              </w:rPr>
              <w:t>BAHRA</w:t>
            </w:r>
          </w:p>
        </w:tc>
        <w:tc>
          <w:tcPr>
            <w:tcW w:type="dxa" w:w="1474"/>
            <w:tcMar>
              <w:top w:w="70" w:type="dxa"/>
              <w:start w:w="90" w:type="dxa"/>
              <w:bottom w:w="70" w:type="dxa"/>
              <w:end w:w="90" w:type="dxa"/>
            </w:tcMar>
            <w:vAlign w:val="center"/>
          </w:tcPr>
          <w:p>
            <w:pPr>
              <w:spacing w:after="0"/>
            </w:pPr>
            <w:r>
              <w:rPr>
                <w:rFonts w:ascii="Times New Roman" w:hAnsi="Times New Roman"/>
                <w:color w:val="222222"/>
                <w:sz w:val="18"/>
              </w:rPr>
              <w:t>Puntos</w:t>
            </w:r>
          </w:p>
        </w:tc>
        <w:tc>
          <w:tcPr>
            <w:tcW w:type="dxa" w:w="3175"/>
            <w:tcMar>
              <w:top w:w="70" w:type="dxa"/>
              <w:start w:w="90" w:type="dxa"/>
              <w:bottom w:w="70" w:type="dxa"/>
              <w:end w:w="90" w:type="dxa"/>
            </w:tcMar>
            <w:vAlign w:val="center"/>
          </w:tcPr>
          <w:p>
            <w:pPr>
              <w:spacing w:after="0"/>
            </w:pPr>
            <w:r>
              <w:rPr>
                <w:rFonts w:ascii="Times New Roman" w:hAnsi="Times New Roman"/>
                <w:color w:val="222222"/>
                <w:sz w:val="18"/>
              </w:rPr>
              <w:t>Buffer de 3 km para LOCALIDAD</w:t>
            </w:r>
          </w:p>
        </w:tc>
      </w:tr>
      <w:tr>
        <w:tc>
          <w:tcPr>
            <w:tcW w:type="dxa" w:w="1814"/>
            <w:tcMar>
              <w:top w:w="70" w:type="dxa"/>
              <w:start w:w="90" w:type="dxa"/>
              <w:bottom w:w="70" w:type="dxa"/>
              <w:end w:w="90" w:type="dxa"/>
            </w:tcMar>
            <w:vAlign w:val="center"/>
          </w:tcPr>
          <w:p>
            <w:pPr>
              <w:spacing w:after="0"/>
            </w:pPr>
            <w:r>
              <w:rPr>
                <w:rFonts w:ascii="Times New Roman" w:hAnsi="Times New Roman"/>
                <w:color w:val="222222"/>
                <w:sz w:val="18"/>
              </w:rPr>
              <w:t>Líneas eléctricas</w:t>
            </w:r>
          </w:p>
        </w:tc>
        <w:tc>
          <w:tcPr>
            <w:tcW w:type="dxa" w:w="2494"/>
            <w:tcMar>
              <w:top w:w="70" w:type="dxa"/>
              <w:start w:w="90" w:type="dxa"/>
              <w:bottom w:w="70" w:type="dxa"/>
              <w:end w:w="90" w:type="dxa"/>
            </w:tcMar>
            <w:vAlign w:val="center"/>
          </w:tcPr>
          <w:p>
            <w:pPr>
              <w:spacing w:after="0"/>
            </w:pPr>
            <w:r>
              <w:rPr>
                <w:rFonts w:ascii="Times New Roman" w:hAnsi="Times New Roman"/>
                <w:color w:val="222222"/>
                <w:sz w:val="18"/>
              </w:rPr>
              <w:t>Secretaría de Energía</w:t>
            </w:r>
          </w:p>
        </w:tc>
        <w:tc>
          <w:tcPr>
            <w:tcW w:type="dxa" w:w="1474"/>
            <w:tcMar>
              <w:top w:w="70" w:type="dxa"/>
              <w:start w:w="90" w:type="dxa"/>
              <w:bottom w:w="70" w:type="dxa"/>
              <w:end w:w="90" w:type="dxa"/>
            </w:tcMar>
            <w:vAlign w:val="center"/>
          </w:tcPr>
          <w:p>
            <w:pPr>
              <w:spacing w:after="0"/>
            </w:pPr>
            <w:r>
              <w:rPr>
                <w:rFonts w:ascii="Times New Roman" w:hAnsi="Times New Roman"/>
                <w:color w:val="222222"/>
                <w:sz w:val="18"/>
              </w:rPr>
              <w:t>Líneas</w:t>
            </w:r>
          </w:p>
        </w:tc>
        <w:tc>
          <w:tcPr>
            <w:tcW w:type="dxa" w:w="3175"/>
            <w:tcMar>
              <w:top w:w="70" w:type="dxa"/>
              <w:start w:w="90" w:type="dxa"/>
              <w:bottom w:w="70" w:type="dxa"/>
              <w:end w:w="90" w:type="dxa"/>
            </w:tcMar>
            <w:vAlign w:val="center"/>
          </w:tcPr>
          <w:p>
            <w:pPr>
              <w:spacing w:after="0"/>
            </w:pPr>
            <w:r>
              <w:rPr>
                <w:rFonts w:ascii="Times New Roman" w:hAnsi="Times New Roman"/>
                <w:color w:val="222222"/>
                <w:sz w:val="18"/>
              </w:rPr>
              <w:t>Distancia al elemento más cercano</w:t>
            </w:r>
          </w:p>
        </w:tc>
      </w:tr>
      <w:tr>
        <w:tc>
          <w:tcPr>
            <w:tcW w:type="dxa" w:w="1814"/>
            <w:tcMar>
              <w:top w:w="70" w:type="dxa"/>
              <w:start w:w="90" w:type="dxa"/>
              <w:bottom w:w="70" w:type="dxa"/>
              <w:end w:w="90" w:type="dxa"/>
            </w:tcMar>
            <w:vAlign w:val="center"/>
          </w:tcPr>
          <w:p>
            <w:pPr>
              <w:spacing w:after="0"/>
            </w:pPr>
            <w:r>
              <w:rPr>
                <w:rFonts w:ascii="Times New Roman" w:hAnsi="Times New Roman"/>
                <w:color w:val="222222"/>
                <w:sz w:val="18"/>
              </w:rPr>
              <w:t>Transformadores</w:t>
            </w:r>
          </w:p>
        </w:tc>
        <w:tc>
          <w:tcPr>
            <w:tcW w:type="dxa" w:w="2494"/>
            <w:tcMar>
              <w:top w:w="70" w:type="dxa"/>
              <w:start w:w="90" w:type="dxa"/>
              <w:bottom w:w="70" w:type="dxa"/>
              <w:end w:w="90" w:type="dxa"/>
            </w:tcMar>
            <w:vAlign w:val="center"/>
          </w:tcPr>
          <w:p>
            <w:pPr>
              <w:spacing w:after="0"/>
            </w:pPr>
            <w:r>
              <w:rPr>
                <w:rFonts w:ascii="Times New Roman" w:hAnsi="Times New Roman"/>
                <w:color w:val="222222"/>
                <w:sz w:val="18"/>
              </w:rPr>
              <w:t>Secretaría de Energía</w:t>
            </w:r>
          </w:p>
        </w:tc>
        <w:tc>
          <w:tcPr>
            <w:tcW w:type="dxa" w:w="1474"/>
            <w:tcMar>
              <w:top w:w="70" w:type="dxa"/>
              <w:start w:w="90" w:type="dxa"/>
              <w:bottom w:w="70" w:type="dxa"/>
              <w:end w:w="90" w:type="dxa"/>
            </w:tcMar>
            <w:vAlign w:val="center"/>
          </w:tcPr>
          <w:p>
            <w:pPr>
              <w:spacing w:after="0"/>
            </w:pPr>
            <w:r>
              <w:rPr>
                <w:rFonts w:ascii="Times New Roman" w:hAnsi="Times New Roman"/>
                <w:color w:val="222222"/>
                <w:sz w:val="18"/>
              </w:rPr>
              <w:t>Puntos</w:t>
            </w:r>
          </w:p>
        </w:tc>
        <w:tc>
          <w:tcPr>
            <w:tcW w:type="dxa" w:w="3175"/>
            <w:tcMar>
              <w:top w:w="70" w:type="dxa"/>
              <w:start w:w="90" w:type="dxa"/>
              <w:bottom w:w="70" w:type="dxa"/>
              <w:end w:w="90" w:type="dxa"/>
            </w:tcMar>
            <w:vAlign w:val="center"/>
          </w:tcPr>
          <w:p>
            <w:pPr>
              <w:spacing w:after="0"/>
            </w:pPr>
            <w:r>
              <w:rPr>
                <w:rFonts w:ascii="Times New Roman" w:hAnsi="Times New Roman"/>
                <w:color w:val="222222"/>
                <w:sz w:val="18"/>
              </w:rPr>
              <w:t>Distancia al elemento más cercano</w:t>
            </w:r>
          </w:p>
        </w:tc>
      </w:tr>
      <w:tr>
        <w:tc>
          <w:tcPr>
            <w:tcW w:type="dxa" w:w="1814"/>
            <w:tcMar>
              <w:top w:w="70" w:type="dxa"/>
              <w:start w:w="90" w:type="dxa"/>
              <w:bottom w:w="70" w:type="dxa"/>
              <w:end w:w="90" w:type="dxa"/>
            </w:tcMar>
            <w:vAlign w:val="center"/>
          </w:tcPr>
          <w:p>
            <w:pPr>
              <w:spacing w:after="0"/>
            </w:pPr>
            <w:r>
              <w:rPr>
                <w:rFonts w:ascii="Times New Roman" w:hAnsi="Times New Roman"/>
                <w:color w:val="222222"/>
                <w:sz w:val="18"/>
              </w:rPr>
              <w:t>Radiación</w:t>
            </w:r>
          </w:p>
        </w:tc>
        <w:tc>
          <w:tcPr>
            <w:tcW w:type="dxa" w:w="2494"/>
            <w:tcMar>
              <w:top w:w="70" w:type="dxa"/>
              <w:start w:w="90" w:type="dxa"/>
              <w:bottom w:w="70" w:type="dxa"/>
              <w:end w:w="90" w:type="dxa"/>
            </w:tcMar>
            <w:vAlign w:val="center"/>
          </w:tcPr>
          <w:p>
            <w:pPr>
              <w:spacing w:after="0"/>
            </w:pPr>
            <w:r>
              <w:rPr>
                <w:rFonts w:ascii="Times New Roman" w:hAnsi="Times New Roman"/>
                <w:color w:val="222222"/>
                <w:sz w:val="18"/>
              </w:rPr>
              <w:t>Copernicus ERA5-Land ARCO</w:t>
            </w:r>
          </w:p>
        </w:tc>
        <w:tc>
          <w:tcPr>
            <w:tcW w:type="dxa" w:w="1474"/>
            <w:tcMar>
              <w:top w:w="70" w:type="dxa"/>
              <w:start w:w="90" w:type="dxa"/>
              <w:bottom w:w="70" w:type="dxa"/>
              <w:end w:w="90" w:type="dxa"/>
            </w:tcMar>
            <w:vAlign w:val="center"/>
          </w:tcPr>
          <w:p>
            <w:pPr>
              <w:spacing w:after="0"/>
            </w:pPr>
            <w:r>
              <w:rPr>
                <w:rFonts w:ascii="Times New Roman" w:hAnsi="Times New Roman"/>
                <w:color w:val="222222"/>
                <w:sz w:val="18"/>
              </w:rPr>
              <w:t>Grilla climática</w:t>
            </w:r>
          </w:p>
        </w:tc>
        <w:tc>
          <w:tcPr>
            <w:tcW w:type="dxa" w:w="3175"/>
            <w:tcMar>
              <w:top w:w="70" w:type="dxa"/>
              <w:start w:w="90" w:type="dxa"/>
              <w:bottom w:w="70" w:type="dxa"/>
              <w:end w:w="90" w:type="dxa"/>
            </w:tcMar>
            <w:vAlign w:val="center"/>
          </w:tcPr>
          <w:p>
            <w:pPr>
              <w:spacing w:after="0"/>
            </w:pPr>
            <w:r>
              <w:rPr>
                <w:rFonts w:ascii="Times New Roman" w:hAnsi="Times New Roman"/>
                <w:color w:val="222222"/>
                <w:sz w:val="18"/>
              </w:rPr>
              <w:t>Vecino más cercano y climatología</w:t>
            </w:r>
          </w:p>
        </w:tc>
      </w:tr>
    </w:tbl>
    <w:p>
      <w:pPr>
        <w:spacing w:before="40" w:after="160"/>
        <w:jc w:val="center"/>
        <w:keepLines/>
      </w:pPr>
      <w:r>
        <w:rPr>
          <w:rFonts w:ascii="Times New Roman" w:hAnsi="Times New Roman"/>
          <w:i/>
          <w:color w:val="222222"/>
          <w:sz w:val="20"/>
        </w:rPr>
        <w:t>Tabla 1 Fuentes y función dentro del modelo</w:t>
      </w:r>
    </w:p>
    <w:p>
      <w:pPr>
        <w:pStyle w:val="Heading2"/>
        <w:keepNext/>
        <w:keepLines/>
      </w:pPr>
      <w:r>
        <w:t>7 3 Flujo de procesamiento</w:t>
      </w:r>
    </w:p>
    <w:p>
      <w:pPr>
        <w:pStyle w:val="ListNumber"/>
        <w:spacing w:after="60"/>
      </w:pPr>
      <w:r>
        <w:rPr>
          <w:rFonts w:ascii="Times New Roman" w:hAnsi="Times New Roman"/>
          <w:color w:val="222222"/>
          <w:sz w:val="24"/>
        </w:rPr>
        <w:t>Validar la configuración, la región Santa Fe y la coherencia de los pesos.</w:t>
      </w:r>
    </w:p>
    <w:p>
      <w:pPr>
        <w:pStyle w:val="ListNumber"/>
        <w:spacing w:after="60"/>
      </w:pPr>
      <w:r>
        <w:rPr>
          <w:rFonts w:ascii="Times New Roman" w:hAnsi="Times New Roman"/>
          <w:color w:val="222222"/>
          <w:sz w:val="24"/>
        </w:rPr>
        <w:t>Descargar o recuperar de caché el límite, BAHRA, líneas y transformadores.</w:t>
      </w:r>
    </w:p>
    <w:p>
      <w:pPr>
        <w:pStyle w:val="ListNumber"/>
        <w:spacing w:after="60"/>
      </w:pPr>
      <w:r>
        <w:rPr>
          <w:rFonts w:ascii="Times New Roman" w:hAnsi="Times New Roman"/>
          <w:color w:val="222222"/>
          <w:sz w:val="24"/>
        </w:rPr>
        <w:t>Construir una grilla de 9 km en un sistema proyectado métrico.</w:t>
      </w:r>
    </w:p>
    <w:p>
      <w:pPr>
        <w:pStyle w:val="ListNumber"/>
        <w:spacing w:after="60"/>
      </w:pPr>
      <w:r>
        <w:rPr>
          <w:rFonts w:ascii="Times New Roman" w:hAnsi="Times New Roman"/>
          <w:color w:val="222222"/>
          <w:sz w:val="24"/>
        </w:rPr>
        <w:t>Bufferizar 3 km los puntos BAHRA de tipo LOCALIDAD y excluir celdas que intersectan esos buffers.</w:t>
      </w:r>
    </w:p>
    <w:p>
      <w:pPr>
        <w:pStyle w:val="ListNumber"/>
        <w:spacing w:after="60"/>
      </w:pPr>
      <w:r>
        <w:rPr>
          <w:rFonts w:ascii="Times New Roman" w:hAnsi="Times New Roman"/>
          <w:color w:val="222222"/>
          <w:sz w:val="24"/>
        </w:rPr>
        <w:t>Calcular la distancia mínima desde cada celda a líneas y transformadores.</w:t>
      </w:r>
    </w:p>
    <w:p>
      <w:pPr>
        <w:pStyle w:val="ListNumber"/>
        <w:spacing w:after="60"/>
      </w:pPr>
      <w:r>
        <w:rPr>
          <w:rFonts w:ascii="Times New Roman" w:hAnsi="Times New Roman"/>
          <w:color w:val="222222"/>
          <w:sz w:val="24"/>
        </w:rPr>
        <w:t>Consultar ERA5-Land ARCO por bloques espaciales y resumir 227 meses representativos.</w:t>
      </w:r>
    </w:p>
    <w:p>
      <w:pPr>
        <w:pStyle w:val="ListNumber"/>
        <w:spacing w:after="60"/>
      </w:pPr>
      <w:r>
        <w:rPr>
          <w:rFonts w:ascii="Times New Roman" w:hAnsi="Times New Roman"/>
          <w:color w:val="222222"/>
          <w:sz w:val="24"/>
        </w:rPr>
        <w:t>Normalizar las métricas, persistir candidatos y ejecutar el algoritmo genético.</w:t>
      </w:r>
    </w:p>
    <w:p>
      <w:pPr>
        <w:pStyle w:val="ListNumber"/>
        <w:spacing w:after="60"/>
      </w:pPr>
      <w:r>
        <w:rPr>
          <w:rFonts w:ascii="Times New Roman" w:hAnsi="Times New Roman"/>
          <w:color w:val="222222"/>
          <w:sz w:val="24"/>
        </w:rPr>
        <w:t>Generar ranking, metadatos de corrida, candidatos y mapa interactivo.</w:t>
      </w:r>
    </w:p>
    <w:p>
      <w:pPr>
        <w:pStyle w:val="Heading2"/>
        <w:keepNext/>
        <w:keepLines/>
      </w:pPr>
      <w:r>
        <w:t>7 4 Especificación técnica</w:t>
      </w:r>
    </w:p>
    <w:tbl>
      <w:tblPr>
        <w:tblStyle w:val="TableGrid"/>
        <w:tblW w:type="dxa" w:w="8958"/>
        <w:jc w:val="center"/>
        <w:tblLayout w:type="fixed"/>
        <w:tblLook w:firstColumn="1" w:firstRow="1" w:lastColumn="0" w:lastRow="0" w:noHBand="0" w:noVBand="1" w:val="04A0"/>
      </w:tblPr>
      <w:tblGrid>
        <w:gridCol w:w="2381"/>
        <w:gridCol w:w="6577"/>
      </w:tblGrid>
      <w:tr>
        <w:trPr>
          <w:tblHeader w:val="true"/>
        </w:trPr>
        <w:tc>
          <w:tcPr>
            <w:tcW w:type="dxa" w:w="2381"/>
            <w:shd w:fill="E8E8E8"/>
            <w:tcMar>
              <w:top w:w="70" w:type="dxa"/>
              <w:start w:w="90" w:type="dxa"/>
              <w:bottom w:w="70" w:type="dxa"/>
              <w:end w:w="90" w:type="dxa"/>
            </w:tcMar>
            <w:vAlign w:val="center"/>
          </w:tcPr>
          <w:p>
            <w:pPr>
              <w:spacing w:after="0"/>
              <w:jc w:val="center"/>
            </w:pPr>
            <w:r>
              <w:rPr>
                <w:rFonts w:ascii="Times New Roman" w:hAnsi="Times New Roman"/>
                <w:b/>
                <w:color w:val="222222"/>
                <w:sz w:val="19"/>
              </w:rPr>
              <w:t>Componente</w:t>
            </w:r>
          </w:p>
        </w:tc>
        <w:tc>
          <w:tcPr>
            <w:tcW w:type="dxa" w:w="6577"/>
            <w:shd w:fill="E8E8E8"/>
            <w:tcMar>
              <w:top w:w="70" w:type="dxa"/>
              <w:start w:w="90" w:type="dxa"/>
              <w:bottom w:w="70" w:type="dxa"/>
              <w:end w:w="90" w:type="dxa"/>
            </w:tcMar>
            <w:vAlign w:val="center"/>
          </w:tcPr>
          <w:p>
            <w:pPr>
              <w:spacing w:after="0"/>
              <w:jc w:val="center"/>
            </w:pPr>
            <w:r>
              <w:rPr>
                <w:rFonts w:ascii="Times New Roman" w:hAnsi="Times New Roman"/>
                <w:b/>
                <w:color w:val="222222"/>
                <w:sz w:val="19"/>
              </w:rPr>
              <w:t>Especificación</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Lenguaje</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Python 3.11 o superior; corrida verificada con Python 3.14 en Windows</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Datos y cálculo</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pandas, NumPy, xarray y Zarr</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Geoespacial</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GeoPandas, Shapely, pyproj y pyogrio</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Persistencia</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SQLite mediante SQLAlchemy</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Visualización</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Folium y mosaicos OpenStreetMap con atribución</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Configuración</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YAML validado con Pydantic y credencial ARCO en archivo .env</w:t>
            </w:r>
          </w:p>
        </w:tc>
      </w:tr>
      <w:tr>
        <w:tc>
          <w:tcPr>
            <w:tcW w:type="dxa" w:w="2381"/>
            <w:tcMar>
              <w:top w:w="70" w:type="dxa"/>
              <w:start w:w="90" w:type="dxa"/>
              <w:bottom w:w="70" w:type="dxa"/>
              <w:end w:w="90" w:type="dxa"/>
            </w:tcMar>
            <w:vAlign w:val="center"/>
          </w:tcPr>
          <w:p>
            <w:pPr>
              <w:spacing w:after="0"/>
            </w:pPr>
            <w:r>
              <w:rPr>
                <w:rFonts w:ascii="Times New Roman" w:hAnsi="Times New Roman"/>
                <w:color w:val="222222"/>
                <w:sz w:val="19"/>
              </w:rPr>
              <w:t>Infraestructura</w:t>
            </w:r>
          </w:p>
        </w:tc>
        <w:tc>
          <w:tcPr>
            <w:tcW w:type="dxa" w:w="6577"/>
            <w:tcMar>
              <w:top w:w="70" w:type="dxa"/>
              <w:start w:w="90" w:type="dxa"/>
              <w:bottom w:w="70" w:type="dxa"/>
              <w:end w:w="90" w:type="dxa"/>
            </w:tcMar>
            <w:vAlign w:val="center"/>
          </w:tcPr>
          <w:p>
            <w:pPr>
              <w:spacing w:after="0"/>
            </w:pPr>
            <w:r>
              <w:rPr>
                <w:rFonts w:ascii="Times New Roman" w:hAnsi="Times New Roman"/>
                <w:color w:val="222222"/>
                <w:sz w:val="19"/>
              </w:rPr>
              <w:t>Equipo Windows con conexión para la primera ingesta y almacenamiento local para caché y base SQLite</w:t>
            </w:r>
          </w:p>
        </w:tc>
      </w:tr>
    </w:tbl>
    <w:p>
      <w:pPr>
        <w:spacing w:before="40" w:after="160"/>
        <w:jc w:val="center"/>
        <w:keepLines/>
      </w:pPr>
      <w:r>
        <w:rPr>
          <w:rFonts w:ascii="Times New Roman" w:hAnsi="Times New Roman"/>
          <w:i/>
          <w:color w:val="222222"/>
          <w:sz w:val="20"/>
        </w:rPr>
        <w:t>Tabla 2 Software e infraestructura del prototipo</w:t>
      </w:r>
    </w:p>
    <w:p>
      <w:pPr>
        <w:pStyle w:val="Heading1"/>
        <w:keepNext/>
        <w:keepLines/>
      </w:pPr>
      <w:r>
        <w:t>8 Diseño experimental</w:t>
      </w:r>
    </w:p>
    <w:p>
      <w:r>
        <w:rPr>
          <w:rFonts w:ascii="Times New Roman" w:hAnsi="Times New Roman"/>
          <w:i w:val="0"/>
          <w:color w:val="222222"/>
          <w:sz w:val="24"/>
        </w:rPr>
        <w:t>La corrida registrada como run-20260924T104500Z utilizó celdas de 9 km, un parque nominal de 2 ha, período climático 1970-01 a 2026-07 y los meses 1, 4, 7 y 10. La estimación se construyó con 227 meses. El algoritmo usó 50 individuos, 100 generaciones, probabilidad de cruce 0,75, probabilidad de mutación 0,05, elitismo de dos, torneos de tres y semilla 42.</w:t>
      </w:r>
    </w:p>
    <w:tbl>
      <w:tblPr>
        <w:tblStyle w:val="TableGrid"/>
        <w:tblW w:type="dxa" w:w="8958"/>
        <w:jc w:val="center"/>
        <w:tblLayout w:type="fixed"/>
        <w:tblLook w:firstColumn="1" w:firstRow="1" w:lastColumn="0" w:lastRow="0" w:noHBand="0" w:noVBand="1" w:val="04A0"/>
      </w:tblPr>
      <w:tblGrid>
        <w:gridCol w:w="3402"/>
        <w:gridCol w:w="5556"/>
      </w:tblGrid>
      <w:tr>
        <w:trPr>
          <w:tblHeader w:val="true"/>
        </w:trPr>
        <w:tc>
          <w:tcPr>
            <w:tcW w:type="dxa" w:w="3402"/>
            <w:shd w:fill="E8E8E8"/>
            <w:tcMar>
              <w:top w:w="70" w:type="dxa"/>
              <w:start w:w="90" w:type="dxa"/>
              <w:bottom w:w="70" w:type="dxa"/>
              <w:end w:w="90" w:type="dxa"/>
            </w:tcMar>
            <w:vAlign w:val="center"/>
          </w:tcPr>
          <w:p>
            <w:pPr>
              <w:spacing w:after="0"/>
              <w:jc w:val="center"/>
            </w:pPr>
            <w:r>
              <w:rPr>
                <w:rFonts w:ascii="Times New Roman" w:hAnsi="Times New Roman"/>
                <w:b/>
                <w:color w:val="222222"/>
                <w:sz w:val="20"/>
              </w:rPr>
              <w:t>Parámetro</w:t>
            </w:r>
          </w:p>
        </w:tc>
        <w:tc>
          <w:tcPr>
            <w:tcW w:type="dxa" w:w="5556"/>
            <w:shd w:fill="E8E8E8"/>
            <w:tcMar>
              <w:top w:w="70" w:type="dxa"/>
              <w:start w:w="90" w:type="dxa"/>
              <w:bottom w:w="70" w:type="dxa"/>
              <w:end w:w="90" w:type="dxa"/>
            </w:tcMar>
            <w:vAlign w:val="center"/>
          </w:tcPr>
          <w:p>
            <w:pPr>
              <w:spacing w:after="0"/>
              <w:jc w:val="center"/>
            </w:pPr>
            <w:r>
              <w:rPr>
                <w:rFonts w:ascii="Times New Roman" w:hAnsi="Times New Roman"/>
                <w:b/>
                <w:color w:val="222222"/>
                <w:sz w:val="20"/>
              </w:rPr>
              <w:t>Valor</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Pesos del fitness</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Radiación 0,50; líneas 0,20; transformadores 0,30</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Población</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50</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Generaciones</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100</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Cruce</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0,75</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Mutación</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0,05</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Elitismo</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2</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Torneo</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3</w:t>
            </w:r>
          </w:p>
        </w:tc>
      </w:tr>
      <w:tr>
        <w:tc>
          <w:tcPr>
            <w:tcW w:type="dxa" w:w="3402"/>
            <w:tcMar>
              <w:top w:w="70" w:type="dxa"/>
              <w:start w:w="90" w:type="dxa"/>
              <w:bottom w:w="70" w:type="dxa"/>
              <w:end w:w="90" w:type="dxa"/>
            </w:tcMar>
            <w:vAlign w:val="center"/>
          </w:tcPr>
          <w:p>
            <w:pPr>
              <w:spacing w:after="0"/>
            </w:pPr>
            <w:r>
              <w:rPr>
                <w:rFonts w:ascii="Times New Roman" w:hAnsi="Times New Roman"/>
                <w:color w:val="222222"/>
                <w:sz w:val="20"/>
              </w:rPr>
              <w:t>Semilla</w:t>
            </w:r>
          </w:p>
        </w:tc>
        <w:tc>
          <w:tcPr>
            <w:tcW w:type="dxa" w:w="5556"/>
            <w:tcMar>
              <w:top w:w="70" w:type="dxa"/>
              <w:start w:w="90" w:type="dxa"/>
              <w:bottom w:w="70" w:type="dxa"/>
              <w:end w:w="90" w:type="dxa"/>
            </w:tcMar>
            <w:vAlign w:val="center"/>
          </w:tcPr>
          <w:p>
            <w:pPr>
              <w:spacing w:after="0"/>
            </w:pPr>
            <w:r>
              <w:rPr>
                <w:rFonts w:ascii="Times New Roman" w:hAnsi="Times New Roman"/>
                <w:color w:val="222222"/>
                <w:sz w:val="20"/>
              </w:rPr>
              <w:t>42</w:t>
            </w:r>
          </w:p>
        </w:tc>
      </w:tr>
    </w:tbl>
    <w:p>
      <w:pPr>
        <w:spacing w:before="40" w:after="160"/>
        <w:jc w:val="center"/>
        <w:keepLines/>
      </w:pPr>
      <w:r>
        <w:rPr>
          <w:rFonts w:ascii="Times New Roman" w:hAnsi="Times New Roman"/>
          <w:i/>
          <w:color w:val="222222"/>
          <w:sz w:val="20"/>
        </w:rPr>
        <w:t>Tabla 3 Configuración de la corrida analizada</w:t>
      </w:r>
    </w:p>
    <w:p>
      <w:r>
        <w:rPr>
          <w:rFonts w:ascii="Times New Roman" w:hAnsi="Times New Roman"/>
          <w:i w:val="0"/>
          <w:color w:val="222222"/>
          <w:sz w:val="24"/>
        </w:rPr>
        <w:t>La verificación tuvo tres niveles. Primero, se revisaron los archivos de salida y el log de ejecución. Segundo, se ejecutaron 11 pruebas automatizadas sobre configuración flexible, desactivación de criterios, caché, persistencia y generación del mapa; todas finalizaron correctamente. Tercero, se calculó el ranking exhaustivo de las 1068 celdas válidas con la misma función de aptitud y se comparó con el TOP 10 genético.</w:t>
      </w:r>
    </w:p>
    <w:p>
      <w:pPr>
        <w:pStyle w:val="Heading1"/>
        <w:keepNext/>
        <w:keepLines/>
      </w:pPr>
      <w:r>
        <w:t>9 Resultados</w:t>
      </w:r>
    </w:p>
    <w:p>
      <w:r>
        <w:rPr>
          <w:rFonts w:ascii="Times New Roman" w:hAnsi="Times New Roman"/>
          <w:i w:val="0"/>
          <w:color w:val="222222"/>
          <w:sz w:val="24"/>
        </w:rPr>
        <w:t>La grilla produjo 1788 celdas. El criterio urbano excluyó 720, equivalentes al 40.3 % del total; no se registraron exclusiones por falta de datos climáticos. El algoritmo consideró 1068 candidatos. La Figura 2 muestra la distribución espacial de las celdas y el TOP 10.</w:t>
      </w:r>
    </w:p>
    <w:p>
      <w:pPr>
        <w:spacing w:before="100" w:after="40"/>
        <w:jc w:val="center"/>
        <w:keepNext/>
        <w:keepLines/>
      </w:pPr>
      <w:r>
        <w:drawing>
          <wp:inline xmlns:a="http://schemas.openxmlformats.org/drawingml/2006/main" xmlns:pic="http://schemas.openxmlformats.org/drawingml/2006/picture">
            <wp:extent cx="4031999" cy="4636799"/>
            <wp:docPr id="2" name="Picture 2"/>
            <wp:cNvGraphicFramePr>
              <a:graphicFrameLocks noChangeAspect="1"/>
            </wp:cNvGraphicFramePr>
            <a:graphic>
              <a:graphicData uri="http://schemas.openxmlformats.org/drawingml/2006/picture">
                <pic:pic>
                  <pic:nvPicPr>
                    <pic:cNvPr id="0" name="figura_mapa_candidatos.png"/>
                    <pic:cNvPicPr/>
                  </pic:nvPicPr>
                  <pic:blipFill>
                    <a:blip r:embed="rId10"/>
                    <a:stretch>
                      <a:fillRect/>
                    </a:stretch>
                  </pic:blipFill>
                  <pic:spPr>
                    <a:xfrm>
                      <a:off x="0" y="0"/>
                      <a:ext cx="4031999" cy="4636799"/>
                    </a:xfrm>
                    <a:prstGeom prst="rect"/>
                  </pic:spPr>
                </pic:pic>
              </a:graphicData>
            </a:graphic>
          </wp:inline>
        </w:drawing>
      </w:r>
    </w:p>
    <w:p>
      <w:pPr>
        <w:spacing w:before="40" w:after="160"/>
        <w:jc w:val="center"/>
        <w:keepLines/>
      </w:pPr>
      <w:r>
        <w:rPr>
          <w:rFonts w:ascii="Times New Roman" w:hAnsi="Times New Roman"/>
          <w:i/>
          <w:color w:val="222222"/>
          <w:sz w:val="20"/>
        </w:rPr>
        <w:t>Figura 2 Celdas evaluadas y posiciones del ranking TOP 10</w:t>
      </w:r>
    </w:p>
    <w:tbl>
      <w:tblPr>
        <w:tblStyle w:val="TableGrid"/>
        <w:tblW w:type="dxa" w:w="8334"/>
        <w:jc w:val="center"/>
        <w:tblLayout w:type="fixed"/>
        <w:tblLook w:firstColumn="1" w:firstRow="1" w:lastColumn="0" w:lastRow="0" w:noHBand="0" w:noVBand="1" w:val="04A0"/>
      </w:tblPr>
      <w:tblGrid>
        <w:gridCol w:w="680"/>
        <w:gridCol w:w="793"/>
        <w:gridCol w:w="1134"/>
        <w:gridCol w:w="1134"/>
        <w:gridCol w:w="963"/>
        <w:gridCol w:w="1360"/>
        <w:gridCol w:w="1134"/>
        <w:gridCol w:w="1134"/>
      </w:tblGrid>
      <w:tr>
        <w:trPr>
          <w:tblHeader w:val="true"/>
        </w:trPr>
        <w:tc>
          <w:tcPr>
            <w:tcW w:type="dxa" w:w="680"/>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Rango</w:t>
            </w:r>
          </w:p>
        </w:tc>
        <w:tc>
          <w:tcPr>
            <w:tcW w:type="dxa" w:w="793"/>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Celda</w:t>
            </w:r>
          </w:p>
        </w:tc>
        <w:tc>
          <w:tcPr>
            <w:tcW w:type="dxa" w:w="1134"/>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Lat</w:t>
            </w:r>
          </w:p>
        </w:tc>
        <w:tc>
          <w:tcPr>
            <w:tcW w:type="dxa" w:w="1134"/>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Lon</w:t>
            </w:r>
          </w:p>
        </w:tc>
        <w:tc>
          <w:tcPr>
            <w:tcW w:type="dxa" w:w="963"/>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Fitness</w:t>
            </w:r>
          </w:p>
        </w:tc>
        <w:tc>
          <w:tcPr>
            <w:tcW w:type="dxa" w:w="1360"/>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kWh/m²/año</w:t>
            </w:r>
          </w:p>
        </w:tc>
        <w:tc>
          <w:tcPr>
            <w:tcW w:type="dxa" w:w="1134"/>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Línea km</w:t>
            </w:r>
          </w:p>
        </w:tc>
        <w:tc>
          <w:tcPr>
            <w:tcW w:type="dxa" w:w="1134"/>
            <w:shd w:fill="E8E8E8"/>
            <w:tcMar>
              <w:top w:w="70" w:type="dxa"/>
              <w:start w:w="90" w:type="dxa"/>
              <w:bottom w:w="70" w:type="dxa"/>
              <w:end w:w="90" w:type="dxa"/>
            </w:tcMar>
            <w:vAlign w:val="center"/>
          </w:tcPr>
          <w:p>
            <w:pPr>
              <w:spacing w:after="0"/>
              <w:jc w:val="center"/>
            </w:pPr>
            <w:r>
              <w:rPr>
                <w:rFonts w:ascii="Times New Roman" w:hAnsi="Times New Roman"/>
                <w:b/>
                <w:color w:val="222222"/>
                <w:sz w:val="16"/>
              </w:rPr>
              <w:t>Trafo km</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1</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104</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-30.4502</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-62.0830</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0.7900</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1854.0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171.6</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2</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149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-30.5969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-61.9743</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0.7571</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1841.6</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152.2</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3</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105</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-30.3695</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-62.0770</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0.7352</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1843.9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178.5</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4</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151</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-30.4487</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-61.9943</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0.7281</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1838.9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165.9</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5</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106</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-30.2886</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-62.0705</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0.6648</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1830.4</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185.7</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6</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273</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-30.7723</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-61.8020</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0.6610</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1813.8</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126.7</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7</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277</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-30.4471</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-61.8069</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0.6533</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1819.8</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155.5</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8</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278</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-30.3659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-61.8079</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0.6439</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1819.8</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163.2</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9</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147</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-31.1093</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-61.9504</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0.6317</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1804.9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117.6</w:t>
            </w:r>
          </w:p>
        </w:tc>
      </w:tr>
      <w:tr>
        <w:tc>
          <w:tcPr>
            <w:tcW w:type="dxa" w:w="680"/>
            <w:tcMar>
              <w:top w:w="70" w:type="dxa"/>
              <w:start w:w="90" w:type="dxa"/>
              <w:bottom w:w="70" w:type="dxa"/>
              <w:end w:w="90" w:type="dxa"/>
            </w:tcMar>
            <w:vAlign w:val="center"/>
          </w:tcPr>
          <w:p>
            <w:pPr>
              <w:spacing w:after="0"/>
            </w:pPr>
            <w:r>
              <w:rPr>
                <w:rFonts w:ascii="Times New Roman" w:hAnsi="Times New Roman"/>
                <w:color w:val="222222"/>
                <w:sz w:val="16"/>
              </w:rPr>
              <w:t>10</w:t>
            </w:r>
          </w:p>
        </w:tc>
        <w:tc>
          <w:tcPr>
            <w:tcW w:type="dxa" w:w="793"/>
            <w:tcMar>
              <w:top w:w="70" w:type="dxa"/>
              <w:start w:w="90" w:type="dxa"/>
              <w:bottom w:w="70" w:type="dxa"/>
              <w:end w:w="90" w:type="dxa"/>
            </w:tcMar>
            <w:vAlign w:val="center"/>
          </w:tcPr>
          <w:p>
            <w:pPr>
              <w:spacing w:after="0"/>
            </w:pPr>
            <w:r>
              <w:rPr>
                <w:rFonts w:ascii="Times New Roman" w:hAnsi="Times New Roman"/>
                <w:color w:val="222222"/>
                <w:sz w:val="16"/>
              </w:rPr>
              <w:t>346</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-30.8522</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-61.7078</w:t>
            </w:r>
          </w:p>
        </w:tc>
        <w:tc>
          <w:tcPr>
            <w:tcW w:type="dxa" w:w="963"/>
            <w:tcMar>
              <w:top w:w="70" w:type="dxa"/>
              <w:start w:w="90" w:type="dxa"/>
              <w:bottom w:w="70" w:type="dxa"/>
              <w:end w:w="90" w:type="dxa"/>
            </w:tcMar>
            <w:vAlign w:val="center"/>
          </w:tcPr>
          <w:p>
            <w:pPr>
              <w:spacing w:after="0"/>
            </w:pPr>
            <w:r>
              <w:rPr>
                <w:rFonts w:ascii="Times New Roman" w:hAnsi="Times New Roman"/>
                <w:color w:val="222222"/>
                <w:sz w:val="16"/>
              </w:rPr>
              <w:t>0.6178</w:t>
            </w:r>
          </w:p>
        </w:tc>
        <w:tc>
          <w:tcPr>
            <w:tcW w:type="dxa" w:w="1360"/>
            <w:tcMar>
              <w:top w:w="70" w:type="dxa"/>
              <w:start w:w="90" w:type="dxa"/>
              <w:bottom w:w="70" w:type="dxa"/>
              <w:end w:w="90" w:type="dxa"/>
            </w:tcMar>
            <w:vAlign w:val="center"/>
          </w:tcPr>
          <w:p>
            <w:pPr>
              <w:spacing w:after="0"/>
            </w:pPr>
            <w:r>
              <w:rPr>
                <w:rFonts w:ascii="Times New Roman" w:hAnsi="Times New Roman"/>
                <w:color w:val="222222"/>
                <w:sz w:val="16"/>
              </w:rPr>
              <w:t>1800.9</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0.0</w:t>
            </w:r>
          </w:p>
        </w:tc>
        <w:tc>
          <w:tcPr>
            <w:tcW w:type="dxa" w:w="1134"/>
            <w:tcMar>
              <w:top w:w="70" w:type="dxa"/>
              <w:start w:w="90" w:type="dxa"/>
              <w:bottom w:w="70" w:type="dxa"/>
              <w:end w:w="90" w:type="dxa"/>
            </w:tcMar>
            <w:vAlign w:val="center"/>
          </w:tcPr>
          <w:p>
            <w:pPr>
              <w:spacing w:after="0"/>
            </w:pPr>
            <w:r>
              <w:rPr>
                <w:rFonts w:ascii="Times New Roman" w:hAnsi="Times New Roman"/>
                <w:color w:val="222222"/>
                <w:sz w:val="16"/>
              </w:rPr>
              <w:t>114.0</w:t>
            </w:r>
          </w:p>
        </w:tc>
      </w:tr>
    </w:tbl>
    <w:p>
      <w:pPr>
        <w:spacing w:before="40" w:after="160"/>
        <w:jc w:val="center"/>
        <w:keepLines/>
      </w:pPr>
      <w:r>
        <w:rPr>
          <w:rFonts w:ascii="Times New Roman" w:hAnsi="Times New Roman"/>
          <w:i/>
          <w:color w:val="222222"/>
          <w:sz w:val="20"/>
        </w:rPr>
        <w:t>Tabla 4 Ranking de ubicaciones potencialmente favorables</w:t>
      </w:r>
    </w:p>
    <w:p>
      <w:r>
        <w:rPr>
          <w:rFonts w:ascii="Times New Roman" w:hAnsi="Times New Roman"/>
          <w:i w:val="0"/>
          <w:color w:val="222222"/>
          <w:sz w:val="24"/>
        </w:rPr>
        <w:t>La celda 104 obtuvo fitness 0.7900, radiación anual estimada de 1854.0 kWh/m²/año y distancia nula a la geometría de una línea eléctrica. Su distancia a la estación transformadora más cercana fue 171.6 km. Las diez soluciones genéticas presentaron una radiación anual estimada entre 1800.9 y 1854.0 kWh/m²/año; las 10 registraron 0 km a una geometría de línea.</w:t>
      </w:r>
    </w:p>
    <w:p>
      <w:pPr>
        <w:spacing w:before="100" w:after="40"/>
        <w:jc w:val="center"/>
        <w:keepNext/>
        <w:keepLines/>
      </w:pPr>
      <w:r>
        <w:drawing>
          <wp:inline xmlns:a="http://schemas.openxmlformats.org/drawingml/2006/main" xmlns:pic="http://schemas.openxmlformats.org/drawingml/2006/picture">
            <wp:extent cx="5580000" cy="2790000"/>
            <wp:docPr id="3" name="Picture 3"/>
            <wp:cNvGraphicFramePr>
              <a:graphicFrameLocks noChangeAspect="1"/>
            </wp:cNvGraphicFramePr>
            <a:graphic>
              <a:graphicData uri="http://schemas.openxmlformats.org/drawingml/2006/picture">
                <pic:pic>
                  <pic:nvPicPr>
                    <pic:cNvPr id="0" name="figura_componentes_fitness.png"/>
                    <pic:cNvPicPr/>
                  </pic:nvPicPr>
                  <pic:blipFill>
                    <a:blip r:embed="rId11"/>
                    <a:stretch>
                      <a:fillRect/>
                    </a:stretch>
                  </pic:blipFill>
                  <pic:spPr>
                    <a:xfrm>
                      <a:off x="0" y="0"/>
                      <a:ext cx="5580000" cy="2790000"/>
                    </a:xfrm>
                    <a:prstGeom prst="rect"/>
                  </pic:spPr>
                </pic:pic>
              </a:graphicData>
            </a:graphic>
          </wp:inline>
        </w:drawing>
      </w:r>
    </w:p>
    <w:p>
      <w:pPr>
        <w:spacing w:before="40" w:after="160"/>
        <w:jc w:val="center"/>
        <w:keepLines/>
      </w:pPr>
      <w:r>
        <w:rPr>
          <w:rFonts w:ascii="Times New Roman" w:hAnsi="Times New Roman"/>
          <w:i/>
          <w:color w:val="222222"/>
          <w:sz w:val="20"/>
        </w:rPr>
        <w:t>Figura 3 Contribución ponderada de cada criterio al fitness</w:t>
      </w:r>
    </w:p>
    <w:p>
      <w:r>
        <w:rPr>
          <w:rFonts w:ascii="Times New Roman" w:hAnsi="Times New Roman"/>
          <w:i w:val="0"/>
          <w:color w:val="222222"/>
          <w:sz w:val="24"/>
        </w:rPr>
        <w:t>La ejecución genética no recuperó el TOP 10 exhaustivo de los 1068 candidatos. Compartió 4 celdas con ese conjunto y omitió la mejor alternativa de referencia: la celda 103, cuyo fitness exhaustivo fue 0.7975. La diferencia indica que los parámetros y la representación actuales no exploran de manera suficiente el espacio ampliado por la grilla de 9 km.</w:t>
      </w:r>
    </w:p>
    <w:p>
      <w:pPr>
        <w:spacing w:before="100" w:after="40"/>
        <w:jc w:val="center"/>
        <w:keepNext/>
        <w:keepLines/>
      </w:pPr>
      <w:r>
        <w:drawing>
          <wp:inline xmlns:a="http://schemas.openxmlformats.org/drawingml/2006/main" xmlns:pic="http://schemas.openxmlformats.org/drawingml/2006/picture">
            <wp:extent cx="5580000" cy="2635000"/>
            <wp:docPr id="4" name="Picture 4"/>
            <wp:cNvGraphicFramePr>
              <a:graphicFrameLocks noChangeAspect="1"/>
            </wp:cNvGraphicFramePr>
            <a:graphic>
              <a:graphicData uri="http://schemas.openxmlformats.org/drawingml/2006/picture">
                <pic:pic>
                  <pic:nvPicPr>
                    <pic:cNvPr id="0" name="figura_convergencia.png"/>
                    <pic:cNvPicPr/>
                  </pic:nvPicPr>
                  <pic:blipFill>
                    <a:blip r:embed="rId12"/>
                    <a:stretch>
                      <a:fillRect/>
                    </a:stretch>
                  </pic:blipFill>
                  <pic:spPr>
                    <a:xfrm>
                      <a:off x="0" y="0"/>
                      <a:ext cx="5580000" cy="2635000"/>
                    </a:xfrm>
                    <a:prstGeom prst="rect"/>
                  </pic:spPr>
                </pic:pic>
              </a:graphicData>
            </a:graphic>
          </wp:inline>
        </w:drawing>
      </w:r>
    </w:p>
    <w:p>
      <w:pPr>
        <w:spacing w:before="40" w:after="160"/>
        <w:jc w:val="center"/>
        <w:keepLines/>
      </w:pPr>
      <w:r>
        <w:rPr>
          <w:rFonts w:ascii="Times New Roman" w:hAnsi="Times New Roman"/>
          <w:i/>
          <w:color w:val="222222"/>
          <w:sz w:val="20"/>
        </w:rPr>
        <w:t>Figura 4 Evolución del mejor fitness y del fitness medio</w:t>
      </w:r>
    </w:p>
    <w:p>
      <w:pPr>
        <w:pStyle w:val="Heading1"/>
        <w:keepNext/>
        <w:keepLines/>
      </w:pPr>
      <w:r>
        <w:t>10 Discusión</w:t>
      </w:r>
    </w:p>
    <w:p>
      <w:r>
        <w:rPr>
          <w:rFonts w:ascii="Times New Roman" w:hAnsi="Times New Roman"/>
          <w:i w:val="0"/>
          <w:color w:val="222222"/>
          <w:sz w:val="24"/>
        </w:rPr>
        <w:t>La corrida es reproducible con la semilla y los parámetros fijados, pero no verifica la hipótesis de recuperación del mejor ranking: el TOP 10 genético solo comparte 4 celdas con el exhaustivo. La grilla de 9 km amplió el espacio de búsqueda a 1068 alternativas y expuso una limitación que no aparecía en la corrida de 30 km. La búsqueda completa sigue siendo viable para este tamaño y funciona como referencia necesaria.</w:t>
      </w:r>
    </w:p>
    <w:p>
      <w:r>
        <w:rPr>
          <w:rFonts w:ascii="Times New Roman" w:hAnsi="Times New Roman"/>
          <w:i w:val="0"/>
          <w:color w:val="222222"/>
          <w:sz w:val="24"/>
        </w:rPr>
        <w:t>La función de aptitud deja visible el compromiso entre recurso solar e infraestructura. La primera posición no es la más cercana a transformadores; gana por radiación y proximidad a líneas. Esto confirma que un único valor de fitness puede ocultar compensaciones relevantes. Antes de usar el ranking en una decisión real deben ejecutarse análisis de sensibilidad de pesos y, de ser posible, formular el problema como optimización multiobjetivo.</w:t>
      </w:r>
    </w:p>
    <w:p>
      <w:r>
        <w:rPr>
          <w:rFonts w:ascii="Times New Roman" w:hAnsi="Times New Roman"/>
          <w:i w:val="0"/>
          <w:color w:val="222222"/>
          <w:sz w:val="24"/>
        </w:rPr>
        <w:t>La representación genética requiere una revisión. El índice de fila es una categoría, aunque el cruce lo trata como una magnitud continua. Dos índices próximos pueden corresponder a celdas lejanas y viceversa. Una versión futura debería usar coordenadas, identificadores organizados espacialmente, operadores categóricos o una formulación de conjunto cuando se busquen varias instalaciones. También conviene comparar múltiples semillas y medir diversidad, convergencia y estabilidad del ranking.</w:t>
      </w:r>
    </w:p>
    <w:p>
      <w:r>
        <w:rPr>
          <w:rFonts w:ascii="Times New Roman" w:hAnsi="Times New Roman"/>
          <w:i w:val="0"/>
          <w:color w:val="222222"/>
          <w:sz w:val="24"/>
        </w:rPr>
        <w:t>La exclusión urbana es una aproximación. BAHRA aporta puntos y el buffer uniforme de 3 km no reproduce la extensión real de cada localidad. La grilla de 9 km sigue siendo mucho mayor que un parque de 2 ha y una celda válida puede contener restricciones no modeladas. Además, la radiación estimada con cuatro meses representativos no equivale a una simulación fotovoltaica completa. Estas limitaciones impiden convertir el ranking en una recomendación de obra.</w:t>
      </w:r>
    </w:p>
    <w:p>
      <w:pPr>
        <w:pStyle w:val="Heading1"/>
        <w:keepNext/>
        <w:keepLines/>
      </w:pPr>
      <w:r>
        <w:t>11 Conclusiones</w:t>
      </w:r>
    </w:p>
    <w:p>
      <w:r>
        <w:rPr>
          <w:rFonts w:ascii="Times New Roman" w:hAnsi="Times New Roman"/>
          <w:i w:val="0"/>
          <w:color w:val="222222"/>
          <w:sz w:val="24"/>
        </w:rPr>
        <w:t>El proyecto concretó un prototipo funcional que integra datos oficiales, procesamiento geoespacial, persistencia local, optimización genética y productos de salida trazables. La corrida analizada identificó 1068 celdas válidas entre 1788 y situó a la celda 104 en primer lugar del ranking genético con fitness 0.7900. Las 11 pruebas automatizadas finalizaron sin errores, pero el TOP 10 no coincidió con el ranking exhaustivo.</w:t>
      </w:r>
    </w:p>
    <w:p>
      <w:r>
        <w:rPr>
          <w:rFonts w:ascii="Times New Roman" w:hAnsi="Times New Roman"/>
          <w:i w:val="0"/>
          <w:color w:val="222222"/>
          <w:sz w:val="24"/>
        </w:rPr>
        <w:t>El resultado cumple el objetivo de preselección y deja una base de software para continuar la investigación. No prueba que las ubicaciones sean técnica, ambiental, legal o económicamente viables. La conclusión defendible es más acotada: el sistema ordena de forma reproducible celdas potencialmente favorables según las variables y pesos incorporados.</w:t>
      </w:r>
    </w:p>
    <w:p>
      <w:pPr>
        <w:pStyle w:val="Heading1"/>
        <w:keepNext/>
        <w:keepLines/>
      </w:pPr>
      <w:r>
        <w:t>12 Líneas de continuidad</w:t>
      </w:r>
    </w:p>
    <w:p>
      <w:pPr>
        <w:pStyle w:val="ListBullet"/>
        <w:spacing w:after="60"/>
      </w:pPr>
      <w:r>
        <w:rPr>
          <w:rFonts w:ascii="Times New Roman" w:hAnsi="Times New Roman"/>
          <w:color w:val="222222"/>
          <w:sz w:val="24"/>
        </w:rPr>
        <w:t>Reemplazar los buffers de puntos urbanos por polígonos actualizados de ocupación del suelo.</w:t>
      </w:r>
    </w:p>
    <w:p>
      <w:pPr>
        <w:pStyle w:val="ListBullet"/>
        <w:spacing w:after="60"/>
      </w:pPr>
      <w:r>
        <w:rPr>
          <w:rFonts w:ascii="Times New Roman" w:hAnsi="Times New Roman"/>
          <w:color w:val="222222"/>
          <w:sz w:val="24"/>
        </w:rPr>
        <w:t>Mantener fuera del modelo las variables orográficas y de nubosidad en esta etapa y documentar explícitamente ese alcance.</w:t>
      </w:r>
    </w:p>
    <w:p>
      <w:pPr>
        <w:pStyle w:val="ListBullet"/>
        <w:spacing w:after="60"/>
      </w:pPr>
      <w:r>
        <w:rPr>
          <w:rFonts w:ascii="Times New Roman" w:hAnsi="Times New Roman"/>
          <w:color w:val="222222"/>
          <w:sz w:val="24"/>
        </w:rPr>
        <w:t>Agregar capacidad de líneas y subestaciones, costos de conexión, costo del terreno y restricciones regulatorias.</w:t>
      </w:r>
    </w:p>
    <w:p>
      <w:pPr>
        <w:pStyle w:val="ListBullet"/>
        <w:spacing w:after="60"/>
      </w:pPr>
      <w:r>
        <w:rPr>
          <w:rFonts w:ascii="Times New Roman" w:hAnsi="Times New Roman"/>
          <w:color w:val="222222"/>
          <w:sz w:val="24"/>
        </w:rPr>
        <w:t>Ejecutar sensibilidad de pesos y una formulación multiobjetivo que exponga soluciones de compromiso.</w:t>
      </w:r>
    </w:p>
    <w:p>
      <w:pPr>
        <w:pStyle w:val="ListBullet"/>
        <w:spacing w:after="60"/>
      </w:pPr>
      <w:r>
        <w:rPr>
          <w:rFonts w:ascii="Times New Roman" w:hAnsi="Times New Roman"/>
          <w:color w:val="222222"/>
          <w:sz w:val="24"/>
        </w:rPr>
        <w:t>Rediseñar la codificación genética y comparar el algoritmo con búsqueda exhaustiva, recocido simulado y métodos voraces.</w:t>
      </w:r>
    </w:p>
    <w:p>
      <w:pPr>
        <w:pStyle w:val="ListBullet"/>
        <w:spacing w:after="60"/>
      </w:pPr>
      <w:r>
        <w:rPr>
          <w:rFonts w:ascii="Times New Roman" w:hAnsi="Times New Roman"/>
          <w:color w:val="222222"/>
          <w:sz w:val="24"/>
        </w:rPr>
        <w:t>Validar las ubicaciones priorizadas con cartografía de mayor resolución y relevamientos de campo.</w:t>
      </w:r>
    </w:p>
    <w:p>
      <w:pPr>
        <w:pStyle w:val="Heading1"/>
        <w:keepNext/>
        <w:keepLines/>
      </w:pPr>
      <w:r>
        <w:t>Referencias</w:t>
      </w:r>
    </w:p>
    <w:p>
      <w:pPr>
        <w:spacing w:after="80"/>
        <w:ind w:left="340" w:hanging="340"/>
      </w:pPr>
      <w:r>
        <w:rPr>
          <w:rFonts w:ascii="Times New Roman" w:hAnsi="Times New Roman"/>
          <w:color w:val="222222"/>
          <w:sz w:val="19"/>
        </w:rPr>
        <w:t>[1] J. H. Holland, Adaptation in Natural and Artificial Systems. University of Michigan Press, 1975.</w:t>
      </w:r>
    </w:p>
    <w:p>
      <w:pPr>
        <w:spacing w:after="80"/>
        <w:ind w:left="340" w:hanging="340"/>
      </w:pPr>
      <w:r>
        <w:rPr>
          <w:rFonts w:ascii="Times New Roman" w:hAnsi="Times New Roman"/>
          <w:color w:val="222222"/>
          <w:sz w:val="19"/>
        </w:rPr>
        <w:t>[2] D. E. Goldberg, Genetic Algorithms in Search, Optimization and Machine Learning. Addison-Wesley, 1989.</w:t>
      </w:r>
    </w:p>
    <w:p>
      <w:pPr>
        <w:spacing w:after="80"/>
        <w:ind w:left="340" w:hanging="340"/>
      </w:pPr>
      <w:r>
        <w:rPr>
          <w:rFonts w:ascii="Times New Roman" w:hAnsi="Times New Roman"/>
          <w:color w:val="222222"/>
          <w:sz w:val="19"/>
        </w:rPr>
        <w:t>[3] M. Srinivas y L. M. Patnaik, “Genetic algorithms: a survey”, Computer, vol. 27, n.º 6, pp. 17-26, 1994. https://doi.org/10.1109/2.294849</w:t>
      </w:r>
    </w:p>
    <w:p>
      <w:pPr>
        <w:spacing w:after="80"/>
        <w:ind w:left="340" w:hanging="340"/>
      </w:pPr>
      <w:r>
        <w:rPr>
          <w:rFonts w:ascii="Times New Roman" w:hAnsi="Times New Roman"/>
          <w:color w:val="222222"/>
          <w:sz w:val="19"/>
        </w:rPr>
        <w:t>[4] J. Malczewski, “GIS-based multicriteria decision analysis: a survey of the literature”, International Journal of Geographical Information Science, vol. 20, n.º 7, pp. 703-726, 2006. https://doi.org/10.1080/13658810600661508</w:t>
      </w:r>
    </w:p>
    <w:p>
      <w:pPr>
        <w:spacing w:after="80"/>
        <w:ind w:left="340" w:hanging="340"/>
      </w:pPr>
      <w:r>
        <w:rPr>
          <w:rFonts w:ascii="Times New Roman" w:hAnsi="Times New Roman"/>
          <w:color w:val="222222"/>
          <w:sz w:val="19"/>
        </w:rPr>
        <w:t>[5] M. Uyan, “GIS-based solar farms site selection using analytic hierarchy process in Karapinar region”, Renewable and Sustainable Energy Reviews, vol. 28, pp. 11-17, 2013. https://doi.org/10.1016/j.rser.2013.07.042</w:t>
      </w:r>
    </w:p>
    <w:p>
      <w:pPr>
        <w:spacing w:after="80"/>
        <w:ind w:left="340" w:hanging="340"/>
      </w:pPr>
      <w:r>
        <w:rPr>
          <w:rFonts w:ascii="Times New Roman" w:hAnsi="Times New Roman"/>
          <w:color w:val="222222"/>
          <w:sz w:val="19"/>
        </w:rPr>
        <w:t>[6] H. Z. Al Garni y A. Awasthi, “Solar PV power plant site selection using a GIS-AHP based approach with application in Saudi Arabia”, Applied Energy, vol. 206, pp. 1225-1240, 2017. https://doi.org/10.1016/j.apenergy.2017.10.024</w:t>
      </w:r>
    </w:p>
    <w:p>
      <w:pPr>
        <w:spacing w:after="80"/>
        <w:ind w:left="340" w:hanging="340"/>
      </w:pPr>
      <w:r>
        <w:rPr>
          <w:rFonts w:ascii="Times New Roman" w:hAnsi="Times New Roman"/>
          <w:color w:val="222222"/>
          <w:sz w:val="19"/>
        </w:rPr>
        <w:t>[7] J. Muñoz-Sabater et al., “ERA5-Land: a state-of-the-art global reanalysis dataset for land applications”, Earth System Science Data, vol. 13, pp. 4349-4383, 2021. https://doi.org/10.5194/essd-13-4349-2021</w:t>
      </w:r>
    </w:p>
    <w:p>
      <w:pPr>
        <w:spacing w:after="80"/>
        <w:ind w:left="340" w:hanging="340"/>
      </w:pPr>
      <w:r>
        <w:rPr>
          <w:rFonts w:ascii="Times New Roman" w:hAnsi="Times New Roman"/>
          <w:color w:val="222222"/>
          <w:sz w:val="19"/>
        </w:rPr>
        <w:t>[8] Copernicus Climate Change Service y ECMWF, ERA5-Land hourly Analysis Ready Cloud Optimised data on single levels from 1950 to present Product User Guide, 2026. https://confluence.ecmwf.int/spaces/CKB/pages/536218894/</w:t>
      </w:r>
    </w:p>
    <w:p>
      <w:pPr>
        <w:spacing w:after="80"/>
        <w:ind w:left="340" w:hanging="340"/>
      </w:pPr>
      <w:r>
        <w:rPr>
          <w:rFonts w:ascii="Times New Roman" w:hAnsi="Times New Roman"/>
          <w:color w:val="222222"/>
          <w:sz w:val="19"/>
        </w:rPr>
        <w:t>[9] Instituto Geográfico Nacional, Unidades Territoriales. Datos Argentina. https://datos.gob.ar/ar/dataset/ign-unidades-territoriales</w:t>
      </w:r>
    </w:p>
    <w:p>
      <w:pPr>
        <w:spacing w:after="80"/>
        <w:ind w:left="340" w:hanging="340"/>
      </w:pPr>
      <w:r>
        <w:rPr>
          <w:rFonts w:ascii="Times New Roman" w:hAnsi="Times New Roman"/>
          <w:color w:val="222222"/>
          <w:sz w:val="19"/>
        </w:rPr>
        <w:t>[10] Jefatura de Gabinete de Ministros, Localidades BAHRA. Datos Argentina. https://datos.gob.ar/dataset/jgm-servicio-normalizacion-datos-geograficos/archivo/jgm_8.21</w:t>
      </w:r>
    </w:p>
    <w:p>
      <w:pPr>
        <w:spacing w:after="80"/>
        <w:ind w:left="340" w:hanging="340"/>
      </w:pPr>
      <w:r>
        <w:rPr>
          <w:rFonts w:ascii="Times New Roman" w:hAnsi="Times New Roman"/>
          <w:color w:val="222222"/>
          <w:sz w:val="19"/>
        </w:rPr>
        <w:t>[11] Secretaría de Energía, Redes de distribución eléctrica. Datos Argentina. https://datos.gob.ar/dataset/energia-redes-distribucion-electrica</w:t>
      </w:r>
    </w:p>
    <w:p>
      <w:pPr>
        <w:spacing w:after="80"/>
        <w:ind w:left="340" w:hanging="340"/>
      </w:pPr>
      <w:r>
        <w:rPr>
          <w:rFonts w:ascii="Times New Roman" w:hAnsi="Times New Roman"/>
          <w:color w:val="222222"/>
          <w:sz w:val="19"/>
        </w:rPr>
        <w:t>[12] Secretaría de Energía, Transporte Eléctrico AT Estaciones Transformadoras. Datos Argentina. https://www.datos.gob.ar/dataset/energia-transporte-electrico-at-estaciones-transformadoras</w:t>
      </w:r>
    </w:p>
    <w:p>
      <w:pPr>
        <w:spacing w:after="80"/>
        <w:ind w:left="340" w:hanging="340"/>
      </w:pPr>
      <w:r>
        <w:rPr>
          <w:rFonts w:ascii="Times New Roman" w:hAnsi="Times New Roman"/>
          <w:color w:val="222222"/>
          <w:sz w:val="19"/>
        </w:rPr>
        <w:t>[13] OpenStreetMap contributors, Copyright and License. https://www.openstreetmap.org/copyright</w:t>
      </w:r>
    </w:p>
    <w:p>
      <w:pPr>
        <w:pStyle w:val="Heading1"/>
        <w:keepNext/>
        <w:keepLines/>
      </w:pPr>
      <w:r>
        <w:t>Anexo técnico</w:t>
      </w:r>
    </w:p>
    <w:p>
      <w:pPr>
        <w:pStyle w:val="Heading2"/>
        <w:keepNext/>
        <w:keepLines/>
      </w:pPr>
      <w:r>
        <w:t>A Configuración reproducible</w:t>
      </w:r>
    </w:p>
    <w:p>
      <w:r>
        <w:rPr>
          <w:rFonts w:ascii="Times New Roman" w:hAnsi="Times New Roman"/>
          <w:i w:val="0"/>
          <w:color w:val="222222"/>
          <w:sz w:val="24"/>
        </w:rPr>
        <w:t>Comando principal en Windows: .\.venv\Scripts\python.exe -m src.main --run-all</w:t>
      </w:r>
    </w:p>
    <w:p>
      <w:r>
        <w:rPr>
          <w:rFonts w:ascii="Times New Roman" w:hAnsi="Times New Roman"/>
          <w:i w:val="0"/>
          <w:color w:val="222222"/>
          <w:sz w:val="24"/>
        </w:rPr>
        <w:t>Comando de pruebas: .\.venv\Scripts\python.exe -m unittest discover -s tests -v</w:t>
      </w:r>
    </w:p>
    <w:p>
      <w:pPr>
        <w:pStyle w:val="Heading2"/>
        <w:keepNext/>
        <w:keepLines/>
      </w:pPr>
      <w:r>
        <w:t>B Productos de la corrida</w:t>
      </w:r>
    </w:p>
    <w:p>
      <w:pPr>
        <w:pStyle w:val="ListBullet"/>
        <w:spacing w:after="60"/>
      </w:pPr>
      <w:r>
        <w:rPr>
          <w:rFonts w:ascii="Times New Roman" w:hAnsi="Times New Roman"/>
          <w:color w:val="222222"/>
          <w:sz w:val="24"/>
        </w:rPr>
        <w:t>results/ranking.csv con el TOP 10 y el desglose climático.</w:t>
      </w:r>
    </w:p>
    <w:p>
      <w:pPr>
        <w:pStyle w:val="ListBullet"/>
        <w:spacing w:after="60"/>
      </w:pPr>
      <w:r>
        <w:rPr>
          <w:rFonts w:ascii="Times New Roman" w:hAnsi="Times New Roman"/>
          <w:color w:val="222222"/>
          <w:sz w:val="24"/>
        </w:rPr>
        <w:t>results/candidate_locations.csv con las 1788 celdas y su estado.</w:t>
      </w:r>
    </w:p>
    <w:p>
      <w:pPr>
        <w:pStyle w:val="ListBullet"/>
        <w:spacing w:after="60"/>
      </w:pPr>
      <w:r>
        <w:rPr>
          <w:rFonts w:ascii="Times New Roman" w:hAnsi="Times New Roman"/>
          <w:color w:val="222222"/>
          <w:sz w:val="24"/>
        </w:rPr>
        <w:t>results/optimization_run.json con parámetros, período y advertencia de alcance.</w:t>
      </w:r>
    </w:p>
    <w:p>
      <w:pPr>
        <w:pStyle w:val="ListBullet"/>
        <w:spacing w:after="60"/>
      </w:pPr>
      <w:r>
        <w:rPr>
          <w:rFonts w:ascii="Times New Roman" w:hAnsi="Times New Roman"/>
          <w:color w:val="222222"/>
          <w:sz w:val="24"/>
        </w:rPr>
        <w:t>results/map.html con capas y ubicaciones priorizadas.</w:t>
      </w:r>
    </w:p>
    <w:p>
      <w:pPr>
        <w:pStyle w:val="ListBullet"/>
        <w:spacing w:after="60"/>
      </w:pPr>
      <w:r>
        <w:rPr>
          <w:rFonts w:ascii="Times New Roman" w:hAnsi="Times New Roman"/>
          <w:color w:val="222222"/>
          <w:sz w:val="24"/>
        </w:rPr>
        <w:t>data/processed/parque_solar.sqlite con datos y resultados persistidos.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Times New Roman" w:hAnsi="Times New Roman"/>
      <w:color w:val="222222"/>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Times New Roman" w:hAnsi="Times New Roman"/>
      <w:b/>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Times New Roman" w:hAnsi="Times New Roman"/>
      <w:b/>
      <w:color w:val="22222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de ubicaciones de parques solares mediante algoritmos genéticos</dc:title>
  <dc:subject>Documento guía de investigación y concreción del modelo</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