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20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 @media print {   @page {     size: A4;     margin: 2.5cm;     @bottom-center {       content: "Collège de la Concorde · TEC.WMS · Simulateur pédagogique ERP/WMS · juin 2026";       font-size: 9pt;       color: #444;     }     @bottom-right {       content: counter(page);       font-size: 9pt;       color: #444;     }   } } .page-break {   page-break-after: always;   break-after: page; } .cover-page {   text-align: center;   padding-top: 6cm;   min-height: 24cm; } .cover-page .brand {   font-size: 2.4em;   font-weight: 700;   letter-spacing: 0.08em;   margin-bottom: 1.2em; } .cover-page .title-block h1 {   font-size: 1.6em;   font-weight: 600;   line-height: 1.4;   margin: 0.3em 0;   border: none; } .cover-page .subtitle-block {   margin-top: 4cm;   font-size: 1.1em;   line-height: 1.6;   color: #333; } .cover-page .meta {   margin-top: 3cm;   font-size: 0.95em;   color: #555; } .doc-footer {   margin-top: 2em;   padding-top: 0.8em;   border-top: 1px solid #ccc;   font-size: 0.85em;   color: #555;   text-align: center; } .checklist-page table {   width: 100%;   border-collapse: collapse; } .checklist-page td {   padding: 0.6em 0.4em;   border-bottom: 1px solid #ddd;   vertical-align: top; } .checklist-page td:first-child {   width: 2em;   font-size: 1.2em; } </w:t>
      </w:r>
    </w:p>
    <w:p>
      <w:pPr>
        <w:spacing w:lineRule="auto"/>
      </w:pPr>
      <w:r>
        <w:rPr/>
        <w:t xml:space="preserve">TEC.WMS</w:t>
      </w:r>
    </w:p>
    <w:p>
      <w:pPr>
        <w:pStyle w:val="Heading1"/>
        <w:spacing w:lineRule="auto"/>
      </w:pPr>
      <w:r>
        <w:rPr/>
        <w:t xml:space="preserve">Guide de Préparation</w:t>
      </w:r>
    </w:p>
    <w:p>
      <w:pPr>
        <w:pStyle w:val="Heading1"/>
        <w:spacing w:lineRule="auto"/>
      </w:pPr>
      <w:r>
        <w:rPr/>
        <w:t xml:space="preserve">Modules M4 et M5</w:t>
      </w:r>
    </w:p>
    <w:p>
      <w:pPr>
        <w:pStyle w:val="Heading1"/>
        <w:spacing w:lineRule="auto"/>
      </w:pPr>
      <w:r>
        <w:rPr/>
        <w:t xml:space="preserve">Préparation aux scénarios et à la certification</w:t>
      </w:r>
    </w:p>
    <w:p>
      <w:pPr>
        <w:spacing w:lineRule="auto"/>
      </w:pPr>
      <w:r>
        <w:rPr>
          <w:b/>
        </w:rPr>
        <w:t xml:space="preserve">Collège de la Concorde</w:t>
      </w:r>
      <w:r>
        <w:rPr/>
        <w:br w:type="textWrapping"/>
      </w:r>
      <w:r>
        <w:rPr/>
        <w:t xml:space="preserve">Simulateur pédagogique ERP/WMS</w:t>
      </w:r>
    </w:p>
    <w:p>
      <w:pPr>
        <w:spacing w:lineRule="auto"/>
      </w:pPr>
      <w:r>
        <w:rPr/>
        <w:t xml:space="preserve">Scénarios SCN-012 à SCN-017 · Seuil de réussite : 70 / 100</w:t>
      </w:r>
      <w:r>
        <w:rPr/>
        <w:br w:type="textWrapping"/>
      </w:r>
      <w:r>
        <w:rPr/>
        <w:t xml:space="preserve">Version juin 2026 · Document étudiant</w:t>
      </w:r>
    </w:p>
    <w:p>
      <w:pPr>
        <w:pStyle w:val="Heading1"/>
        <w:spacing w:lineRule="auto"/>
      </w:pPr>
      <w:r>
        <w:rPr/>
        <w:t xml:space="preserve">Table des matières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Présentation du guide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Référence commune — Bandes KPI (Annexe A)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Deux paradigmes à distinguer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Module 4 — Tour de contrôle KPI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4.1 </w:t>
      </w:r>
      <w:hyperlink r:id="rId10">
        <w:r>
          <w:rPr>
            <w:rStyle w:val="Hyperlink"/>
          </w:rPr>
          <w:t xml:space="preserve">SCN-012 — Rotation et capital immobilisé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4.2 </w:t>
      </w:r>
      <w:hyperlink r:id="rId11">
        <w:r>
          <w:rPr>
            <w:rStyle w:val="Hyperlink"/>
          </w:rPr>
          <w:t xml:space="preserve">SCN-013 — Service, erreurs et renouvellement SLA (J-90)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4.3 </w:t>
      </w:r>
      <w:hyperlink r:id="rId12">
        <w:r>
          <w:rPr>
            <w:rStyle w:val="Hyperlink"/>
          </w:rPr>
          <w:t xml:space="preserve">SCN-014 — Arbitrage S&amp;OP multi-KPI (capstone M4)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Module 5 — Peak Week (simulation intégrée)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5.1 </w:t>
      </w:r>
      <w:hyperlink r:id="rId14">
        <w:r>
          <w:rPr>
            <w:rStyle w:val="Hyperlink"/>
          </w:rPr>
          <w:t xml:space="preserve">SCN-015 — Cycle opérationnel nominal (Peak Week Jour 1)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5.2 </w:t>
      </w:r>
      <w:hyperlink r:id="rId15">
        <w:r>
          <w:rPr>
            <w:rStyle w:val="Hyperlink"/>
          </w:rPr>
          <w:t xml:space="preserve">SCN-016 — Écart inventaire et correction (Peak Week Jour 2)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5.3 </w:t>
      </w:r>
      <w:hyperlink r:id="rId16">
        <w:r>
          <w:rPr>
            <w:rStyle w:val="Hyperlink"/>
          </w:rPr>
          <w:t xml:space="preserve">SCN-017 — Décision stratégique capstone (Peak Week Jour 3)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Tableau récapitulatif — Classification KPI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Progression pédagogique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Checklist finale avant soumission</w:t>
        </w:r>
      </w:hyperlink>
    </w:p>
    <w:p>
      <w:r>
        <w:br w:type="page"/>
      </w:r>
    </w:p>
    <w:p>
      <w:pPr>
        <w:spacing w:lineRule="auto"/>
      </w:pPr>
      <w:r>
        <w:rPr/>
        <w:t xml:space="preserve">Collège de la Concorde · TEC.WMS · Simulateur pédagogique ERP/WMS · juin 2026</w:t>
      </w:r>
    </w:p>
    <w:p>
      <w:pPr>
        <w:pStyle w:val="Heading2"/>
        <w:spacing w:lineRule="auto"/>
      </w:pPr>
      <w:r>
        <w:rPr/>
        <w:t xml:space="preserve">Présentation du guide</w:t>
      </w:r>
    </w:p>
    <w:p>
      <w:pPr>
        <w:spacing w:lineRule="auto"/>
      </w:pPr>
      <w:r>
        <w:rPr>
          <w:b/>
        </w:rPr>
        <w:t xml:space="preserve">Programme :</w:t>
      </w:r>
      <w:r>
        <w:rPr/>
        <w:t xml:space="preserve"> TEC.LOG — Simulation WMS intégrée</w:t>
      </w:r>
      <w:r>
        <w:rPr/>
        <w:br w:type="textWrapping"/>
      </w:r>
      <w:r>
        <w:rPr>
          <w:b/>
        </w:rPr>
        <w:t xml:space="preserve">Public :</w:t>
      </w:r>
      <w:r>
        <w:rPr/>
        <w:t xml:space="preserve"> étudiants en préparation à l'évaluation</w:t>
      </w:r>
      <w:r>
        <w:rPr/>
        <w:br w:type="textWrapping"/>
      </w:r>
      <w:r>
        <w:rPr>
          <w:b/>
        </w:rPr>
        <w:t xml:space="preserve">Scénarios couverts :</w:t>
      </w:r>
      <w:r>
        <w:rPr/>
        <w:t xml:space="preserve"> SCN-012 à SCN-017</w:t>
      </w:r>
      <w:r>
        <w:rPr/>
        <w:br w:type="textWrapping"/>
      </w:r>
      <w:r>
        <w:rPr>
          <w:b/>
        </w:rPr>
        <w:t xml:space="preserve">Seuil de réussite :</w:t>
      </w:r>
      <w:r>
        <w:rPr/>
        <w:t xml:space="preserve"> 70 / 100 par scénario</w:t>
      </w:r>
      <w:r>
        <w:rPr/>
        <w:br w:type="textWrapping"/>
      </w:r>
      <w:r>
        <w:rPr>
          <w:b/>
        </w:rPr>
        <w:t xml:space="preserve">Version :</w:t>
      </w:r>
      <w:r>
        <w:rPr/>
        <w:t xml:space="preserve"> juin 2026</w:t>
      </w:r>
    </w:p>
    <w:p>
      <w:pPr>
        <w:spacing w:lineRule="auto"/>
      </w:pPr>
      <w:r>
        <w:rPr/>
        <w:t xml:space="preserve">Ce document consolide l'essentiel pour préparer les </w:t>
      </w:r>
      <w:r>
        <w:rPr>
          <w:b/>
        </w:rPr>
        <w:t xml:space="preserve">Modules 4 et 5</w:t>
      </w:r>
      <w:r>
        <w:rPr/>
        <w:t xml:space="preserve"> de la simulation WMS. Il vous aide à </w:t>
      </w:r>
      <w:r>
        <w:rPr>
          <w:b/>
        </w:rPr>
        <w:t xml:space="preserve">comprendre, observer et rédiger</w:t>
      </w:r>
      <w:r>
        <w:rPr/>
        <w:t xml:space="preserve"> — pas à mémoriser des réponses toutes faites.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vous apporte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ne contient pas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regarder dans le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formulations exactes à recopier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Quels KPI lire et comment les classer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réponses modèles des correcteurs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Quels mots-clés renforcer votre analyse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logique interne de correction automatique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 structurer votre raisonnement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listes de mots « magiques » sans contexte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Ordre recommandé :</w:t>
      </w:r>
      <w:r>
        <w:rPr/>
        <w:t xml:space="preserve"> SCN-012 → 013 → 014 (Module 4), puis SCN-015 → 016 → 017 (Module 5 Peak Week).</w:t>
      </w:r>
    </w:p>
    <w:p>
      <w:pPr>
        <w:spacing w:lineRule="auto"/>
      </w:pPr>
      <w:r>
        <w:rPr>
          <w:b/>
        </w:rPr>
        <w:t xml:space="preserve">Question réflexive avant chaque soumission :</w:t>
      </w:r>
      <w:r>
        <w:rPr/>
        <w:t xml:space="preserve">« Qu'est-ce que ce chiffre me dit ? Quelle action professionnelle cohérente en découle — et ai-je nommé les preuves, les compromis et l'horizon attendus pour ce scénario ? »</w:t>
      </w:r>
    </w:p>
    <w:p>
      <w:pPr>
        <w:pStyle w:val="Heading2"/>
        <w:spacing w:lineRule="auto"/>
      </w:pPr>
      <w:r>
        <w:rPr/>
        <w:t xml:space="preserve">Référence commune — Bandes KPI (Annexe A)</w:t>
      </w:r>
    </w:p>
    <w:p>
      <w:pPr>
        <w:spacing w:lineRule="auto"/>
      </w:pPr>
      <w:r>
        <w:rPr/>
        <w:t xml:space="preserve">À connaître pour </w:t>
      </w:r>
      <w:r>
        <w:rPr>
          <w:b/>
        </w:rPr>
        <w:t xml:space="preserve">interpréter</w:t>
      </w:r>
      <w:r>
        <w:rPr/>
        <w:t xml:space="preserve">, pas pour recopier des chiffres au hasard 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Formule /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Bande normale ou excellente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Signal d'alerte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Consommation ÷ stock moyen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 à 12×/an = normal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4× surstock · &gt; 12× sous-performance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Service (OTIF)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Commandes honorées ÷ 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≥ 95 % = excellent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85 % insuffisant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Erreurs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Erreurs ÷ opérations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 à 5 % = acceptable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5 % critique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Délai (lead time)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Délai moyen fournisseur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 à 7 j = normal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 supply chain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Module 4</w:t>
      </w:r>
      <w:r>
        <w:rPr/>
        <w:t xml:space="preserve"> — données portefeuille partagé (rotation 6×, OTIF 95 %, erreurs 4 %, délai 3,5 j, capital 48 000 $). Le moniteur de transactions reste </w:t>
      </w:r>
      <w:r>
        <w:rPr>
          <w:b/>
        </w:rPr>
        <w:t xml:space="preserve">vide</w:t>
      </w:r>
      <w:r>
        <w:rPr/>
        <w:t xml:space="preserve"> : c'est normal.</w:t>
      </w:r>
      <w:r>
        <w:rPr/>
        <w:br w:type="textWrapping"/>
      </w:r>
      <w:r>
        <w:rPr>
          <w:b/>
        </w:rPr>
        <w:t xml:space="preserve">Module 5</w:t>
      </w:r>
      <w:r>
        <w:rPr/>
        <w:t xml:space="preserve"> — vos KPI viennent du </w:t>
      </w:r>
      <w:r>
        <w:rPr>
          <w:b/>
        </w:rPr>
        <w:t xml:space="preserve">moniteur après vos opérations</w:t>
      </w:r>
      <w:r>
        <w:rPr/>
        <w:t xml:space="preserve"> (échelle SKU, pas le portefeuille entier).</w:t>
      </w:r>
    </w:p>
    <w:p>
      <w:pPr>
        <w:spacing w:lineRule="auto"/>
      </w:pPr>
      <w:r>
        <w:rPr>
          <w:b/>
        </w:rPr>
        <w:t xml:space="preserve">Contrat ops M5 (fiche mission) :</w:t>
      </w:r>
      <w:r>
        <w:rPr/>
        <w:t xml:space="preserve"> SKU-001 · quai REC-01 · emplacement B-01-R1-L1 · lot LOT-M5-A · bon PO-M5-001 · min 10 · max 100.</w:t>
      </w:r>
    </w:p>
    <w:p>
      <w:pPr>
        <w:pStyle w:val="Heading2"/>
        <w:spacing w:lineRule="auto"/>
      </w:pPr>
      <w:r>
        <w:rPr/>
        <w:t xml:space="preserve">Deux paradigmes à distinguer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4 — Analytique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5 — Peak Week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Interpréter des KPI portefeuille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Exécuter un cycle entrepôt, puis décider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 — comportement attendu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Transactions GR → PUTAWAY → CC → [ADJ] → REPLENISH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Source 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KPI + Annexe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/ snapshot de </w:t>
            </w:r>
          </w:p>
          <w:p>
            <w:pPr>
              <w:spacing w:lineRule="auto"/>
            </w:pPr>
            <w:r>
              <w:rPr>
                <w:b/>
              </w:rPr>
              <w:t xml:space="preserve">votre run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Parcours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Briefing → Rotation → Service → Diagnostic →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Réception → Rangement → Comptage → [Ajustement] → Réappro → KPI → Décision → Conformité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Niveau 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Politique / arbitrage (M4)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Tactique (SCN-015/016) ou stratégique (SCN-017)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4 — Tour de contrôle KPI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analysez</w:t>
      </w:r>
      <w:r>
        <w:rPr/>
        <w:t xml:space="preserve"> des indicateurs. Aucune réception, rangement ou comptage n'est attendu. La preuve est dans le </w:t>
      </w:r>
      <w:r>
        <w:rPr>
          <w:b/>
        </w:rPr>
        <w:t xml:space="preserve">tour de contrôle KPI</w:t>
      </w:r>
      <w:r>
        <w:rPr/>
        <w:t xml:space="preserve"> et l'</w:t>
      </w:r>
      <w:r>
        <w:rPr>
          <w:b/>
        </w:rPr>
        <w:t xml:space="preserve">Annexe A</w:t>
      </w:r>
      <w:r>
        <w:rPr/>
        <w:t xml:space="preserve">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SCN-012 — Rotation et capital immobilisé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Analyste logistique — revue CFO du capital circulant (Q3)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Les 48 000 $ immobilisés sont-ils justifiés à 6× de rotation ?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la </w:t>
      </w:r>
      <w:r>
        <w:rPr>
          <w:b/>
        </w:rPr>
        <w:t xml:space="preserve">complaisance</w:t>
      </w:r>
      <w:r>
        <w:rPr/>
        <w:t xml:space="preserve"> à une rotation « normale » sans politique claire.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Question du comité finance sur le capital circulant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 au centre ; capital immobilisé en contexte CFO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pédagogique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Aucune transaction attendue — utilisez les indicateurs KPI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Annexe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Bandes 4–12× pour classer la rotation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KPI_DATA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Consommation, stock moyen, OTIF et erreurs en contexte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Rotation (6×)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Formule consommation ÷ stock moyen → classer dans la bande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Capital immobilisé (48 000 $)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Relier au niveau de rotation — pression légitime du CFO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OTIF 95 %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Excellent — contexte favorable, pas levier principal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Erreurs 4 %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Acceptables — contexte seulement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normale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équilibrée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bande 4–12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6×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formule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consommation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moyen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capital immobilisé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48 000 $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cohérent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rotation : formule + classification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excellent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optimal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seuil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95 %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OTIF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contexte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service : reconnaître l'excellence, contextualiser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recommande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décision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politique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maintenir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surveillance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revue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mensuelle</w:t>
            </w:r>
          </w:p>
          <w:p>
            <w:pPr>
              <w:spacing w:lineRule="auto"/>
            </w:pPr>
            <w:r>
              <w:rPr/>
              <w:t xml:space="preserve"> ou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trimestrielle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 : politique actionnable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surstock</w:t>
      </w:r>
      <w:r>
        <w:rPr/>
        <w:t xml:space="preserve">, </w:t>
      </w:r>
      <w:r>
        <w:rPr/>
        <w:t xml:space="preserve">sur-stock</w:t>
      </w:r>
      <w:r>
        <w:rPr/>
        <w:t xml:space="preserve">, </w:t>
      </w:r>
      <w:r>
        <w:rPr/>
        <w:t xml:space="preserve">excès de stock</w:t>
      </w:r>
      <w:r>
        <w:rPr/>
        <w:t xml:space="preserve">, </w:t>
      </w:r>
      <w:r>
        <w:rPr/>
        <w:t xml:space="preserve">destock global</w:t>
      </w:r>
      <w:r>
        <w:rPr/>
        <w:t xml:space="preserve">, </w:t>
      </w:r>
      <w:r>
        <w:rPr/>
        <w:t xml:space="preserve">liquidation</w:t>
      </w:r>
      <w:r>
        <w:rPr/>
        <w:t xml:space="preserve">, </w:t>
      </w:r>
      <w:r>
        <w:rPr/>
        <w:t xml:space="preserve">rien à faire</w:t>
      </w:r>
      <w:r>
        <w:rPr/>
        <w:t xml:space="preserve">, </w:t>
      </w:r>
      <w:r>
        <w:rPr/>
        <w:t xml:space="preserve">formation picking</w:t>
      </w:r>
      <w:r>
        <w:rPr/>
        <w:t xml:space="preserve">, </w:t>
      </w:r>
      <w:r>
        <w:rPr/>
        <w:t xml:space="preserve">SLA</w:t>
      </w:r>
      <w:r>
        <w:rPr/>
        <w:t xml:space="preserve">, </w:t>
      </w:r>
      <w:r>
        <w:rPr/>
        <w:t xml:space="preserve">J-90</w:t>
      </w:r>
      <w:r>
        <w:rPr/>
        <w:t xml:space="preserve">, vocabulaire transaction WMS (</w:t>
      </w:r>
      <w:r>
        <w:rPr/>
        <w:t xml:space="preserve">MIGO</w:t>
      </w:r>
      <w:r>
        <w:rPr/>
        <w:t xml:space="preserve">, </w:t>
      </w:r>
      <w:r>
        <w:rPr/>
        <w:t xml:space="preserve">LT01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Structure de réponse par étape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Données KPI</w:t>
      </w:r>
      <w:r>
        <w:rPr/>
        <w:t xml:space="preserve"> — Confirmer le mode analytique ; énumérer les indicateurs repérés ; cadrer l'enjeu capital / politique stock.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Rotation</w:t>
      </w:r>
      <w:r>
        <w:rPr/>
        <w:t xml:space="preserve"> — Citer la formule → présenter le résultat → classer </w:t>
      </w:r>
      <w:r>
        <w:rPr>
          <w:b/>
        </w:rPr>
        <w:t xml:space="preserve">normale</w:t>
      </w:r>
      <w:r>
        <w:rPr/>
        <w:t xml:space="preserve"> → relier au capital immobilisé.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Service</w:t>
      </w:r>
      <w:r>
        <w:rPr/>
        <w:t xml:space="preserve"> — Calculer ou citer l'OTIF → classer </w:t>
      </w:r>
      <w:r>
        <w:rPr>
          <w:b/>
        </w:rPr>
        <w:t xml:space="preserve">excellent</w:t>
      </w:r>
      <w:r>
        <w:rPr/>
        <w:t xml:space="preserve"> → mentionner brièvement les erreurs en contexte.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Diagnostic</w:t>
      </w:r>
      <w:r>
        <w:rPr/>
        <w:t xml:space="preserve"> — Constat (rotation + capital + service) → interprétation pour le CFO → </w:t>
      </w:r>
      <w:r>
        <w:rPr>
          <w:b/>
        </w:rPr>
        <w:t xml:space="preserve">recommandation</w:t>
      </w:r>
      <w:r>
        <w:rPr/>
        <w:t xml:space="preserve"> (maintien + surveillance SKU ciblée) → plan mesurable (revue périodique).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5"/>
        </w:numPr>
        <w:spacing w:lineRule="auto"/>
      </w:pPr>
      <w:r>
        <w:rPr/>
        <w:t xml:space="preserve">Classer 6× comme </w:t>
      </w:r>
      <w:r>
        <w:rPr>
          <w:b/>
        </w:rPr>
        <w:t xml:space="preserve">surstock</w:t>
      </w:r>
      <w:r>
        <w:rPr/>
        <w:t xml:space="preserve"> (confusion avec la bande &lt; 4×).</w:t>
      </w:r>
    </w:p>
    <w:p>
      <w:pPr>
        <w:numPr>
          <w:ilvl w:val="0"/>
          <w:numId w:val="5"/>
        </w:numPr>
        <w:spacing w:lineRule="auto"/>
      </w:pPr>
      <w:r>
        <w:rPr/>
        <w:t xml:space="preserve">Utiliser le mot « surstock » même pour dire « pas de surstock ».</w:t>
      </w:r>
    </w:p>
    <w:p>
      <w:pPr>
        <w:numPr>
          <w:ilvl w:val="0"/>
          <w:numId w:val="5"/>
        </w:numPr>
        <w:spacing w:lineRule="auto"/>
      </w:pPr>
      <w:r>
        <w:rPr/>
        <w:t xml:space="preserve">Conclure « tout va bien, rien à faire » sans politique ni plan de suivi.</w:t>
      </w:r>
    </w:p>
    <w:p>
      <w:pPr>
        <w:numPr>
          <w:ilvl w:val="0"/>
          <w:numId w:val="5"/>
        </w:numPr>
        <w:spacing w:lineRule="auto"/>
      </w:pPr>
      <w:r>
        <w:rPr/>
        <w:t xml:space="preserve">Recommander un </w:t>
      </w:r>
      <w:r>
        <w:rPr>
          <w:b/>
        </w:rPr>
        <w:t xml:space="preserve">destock global</w:t>
      </w:r>
      <w:r>
        <w:rPr/>
        <w:t xml:space="preserve"> incohérent avec rotation normale et service excellent.</w:t>
      </w:r>
    </w:p>
    <w:p>
      <w:pPr>
        <w:numPr>
          <w:ilvl w:val="0"/>
          <w:numId w:val="5"/>
        </w:numPr>
        <w:spacing w:lineRule="auto"/>
      </w:pPr>
      <w:r>
        <w:rPr/>
        <w:t xml:space="preserve">Appliquer la logique SCN-013 (qualité d'exécution) alors que l'enjeu est le </w:t>
      </w:r>
      <w:r>
        <w:rPr>
          <w:b/>
        </w:rPr>
        <w:t xml:space="preserve">capital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/>
        <w:t xml:space="preserve">Tenter des transactions WMS (habitude Modules 1–3).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Complaisance :</w:t>
      </w:r>
      <w:r>
        <w:rPr/>
        <w:t xml:space="preserve"> une rotation normale ne signifie pas « aucune action » — le CFO attend une recommandation.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Mauvais scénario :</w:t>
      </w:r>
      <w:r>
        <w:rPr/>
        <w:t xml:space="preserve"> ne pas traiter les erreurs comme levier principal ici.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Contradiction interne :</w:t>
      </w:r>
      <w:r>
        <w:rPr/>
        <w:t xml:space="preserve"> une rotation classée normale ne peut pas motiver un vocabulaire de crise surstock.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SCN-013 — Service, erreurs et renouvellement SLA (J-90)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Responsable performance — contrat SLA à renouveler dans 90 jours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Analyser le </w:t>
      </w:r>
      <w:r>
        <w:rPr>
          <w:b/>
        </w:rPr>
        <w:t xml:space="preserve">piège du tableau vert</w:t>
      </w:r>
      <w:r>
        <w:rPr/>
        <w:t xml:space="preserve"> : tout semble bon, mais les erreurs menacent l'OTIF.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l'</w:t>
      </w:r>
      <w:r>
        <w:rPr>
          <w:b/>
        </w:rPr>
        <w:t xml:space="preserve">OTIF excellent masque une fragilité d'exécution</w:t>
      </w:r>
      <w:r>
        <w:rPr/>
        <w:t xml:space="preserve"> corrigeable.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Horizon J-90 ; enjeu renouvellement contrat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OTIF </w:t>
            </w:r>
          </w:p>
          <w:p>
            <w:pPr>
              <w:spacing w:lineRule="auto"/>
            </w:pPr>
            <w:r>
              <w:rPr>
                <w:b/>
              </w:rPr>
              <w:t xml:space="preserve">et</w:t>
            </w:r>
          </w:p>
          <w:p>
            <w:pPr>
              <w:spacing w:lineRule="auto"/>
            </w:pPr>
            <w:r>
              <w:rPr/>
              <w:t xml:space="preserve"> taux d'erreur affichés ensemble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Alerte OIL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Formulation « piège tableau vert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KPI_SERVICE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Deux indicateurs en tension : service headline vs erreurs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OTIF (95 %)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Excellent au seuil — </w:t>
            </w:r>
          </w:p>
          <w:p>
            <w:pPr>
              <w:spacing w:lineRule="auto"/>
            </w:pPr>
            <w:r>
              <w:rPr>
                <w:b/>
              </w:rPr>
              <w:t xml:space="preserve">à reconnaître</w:t>
            </w:r>
          </w:p>
          <w:p>
            <w:pPr>
              <w:spacing w:lineRule="auto"/>
            </w:pPr>
            <w:r>
              <w:rPr/>
              <w:t xml:space="preserve">, pas à minimiser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Erreurs (4 %)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Acceptables statistiquement, mais </w:t>
            </w:r>
          </w:p>
          <w:p>
            <w:pPr>
              <w:spacing w:lineRule="auto"/>
            </w:pPr>
            <w:r>
              <w:rPr>
                <w:b/>
              </w:rPr>
              <w:t xml:space="preserve">corrigeables</w:t>
            </w:r>
          </w:p>
          <w:p>
            <w:pPr>
              <w:spacing w:lineRule="auto"/>
            </w:pPr>
            <w:r>
              <w:rPr/>
              <w:t xml:space="preserve"> — source de fragilité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 6×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Normale — une ligne suffit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Délai 3,5 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Normal — supply chain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J-90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SLA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renouvellement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OTIF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erreurs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tableau vert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Cadrage initial : dual KPI service + erreurs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normale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6×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contexte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portefeuille stable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 : classer, puis orienter vers l'exécution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excellent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95 %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OTIF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acceptable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4 %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erreurs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picking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prélèvement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réception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fragilité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dérive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J-90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: analyse </w:t>
            </w:r>
          </w:p>
          <w:p>
            <w:pPr>
              <w:spacing w:lineRule="auto"/>
            </w:pPr>
            <w:r>
              <w:rPr>
                <w:b/>
              </w:rPr>
              <w:t xml:space="preserve">duale</w:t>
            </w:r>
          </w:p>
          <w:p>
            <w:pPr>
              <w:spacing w:lineRule="auto"/>
            </w:pPr>
            <w:r>
              <w:rPr/>
              <w:t xml:space="preserve"> obligatoire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recommande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formation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qualité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checklist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cible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90 jours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hebdomadaire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suivi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 : plan chiffré et mesurable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faible service</w:t>
      </w:r>
      <w:r>
        <w:rPr/>
        <w:t xml:space="preserve">, </w:t>
      </w:r>
      <w:r>
        <w:rPr/>
        <w:t xml:space="preserve">insuffisant</w:t>
      </w:r>
      <w:r>
        <w:rPr/>
        <w:t xml:space="preserve">, </w:t>
      </w:r>
      <w:r>
        <w:rPr/>
        <w:t xml:space="preserve">excellent</w:t>
      </w:r>
      <w:r>
        <w:rPr/>
        <w:t xml:space="preserve"> pour les erreurs à 4 %, </w:t>
      </w:r>
      <w:r>
        <w:rPr/>
        <w:t xml:space="preserve">destock</w:t>
      </w:r>
      <w:r>
        <w:rPr/>
        <w:t xml:space="preserve">, </w:t>
      </w:r>
      <w:r>
        <w:rPr/>
        <w:t xml:space="preserve">surstock</w:t>
      </w:r>
      <w:r>
        <w:rPr/>
        <w:t xml:space="preserve">, </w:t>
      </w:r>
      <w:r>
        <w:rPr/>
        <w:t xml:space="preserve">capital</w:t>
      </w:r>
      <w:r>
        <w:rPr/>
        <w:t xml:space="preserve"> comme levier principal, </w:t>
      </w:r>
      <w:r>
        <w:rPr/>
        <w:t xml:space="preserve">rien à faire</w:t>
      </w:r>
      <w:r>
        <w:rPr/>
        <w:t xml:space="preserve">, </w:t>
      </w:r>
      <w:r>
        <w:rPr/>
        <w:t xml:space="preserve">statu quo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 par étape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Données KPI</w:t>
      </w:r>
      <w:r>
        <w:rPr/>
        <w:t xml:space="preserve"> — Cadrer la revue SLA à 90 jours ; repérer OTIF </w:t>
      </w:r>
      <w:r>
        <w:rPr>
          <w:b/>
        </w:rPr>
        <w:t xml:space="preserve">et</w:t>
      </w:r>
      <w:r>
        <w:rPr/>
        <w:t xml:space="preserve"> erreurs ; signaler le piège « tout vert ».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Rotation</w:t>
      </w:r>
      <w:r>
        <w:rPr/>
        <w:t xml:space="preserve"> — Classer normale → indiquer que ce n'est </w:t>
      </w:r>
      <w:r>
        <w:rPr>
          <w:b/>
        </w:rPr>
        <w:t xml:space="preserve">pas</w:t>
      </w:r>
      <w:r>
        <w:rPr/>
        <w:t xml:space="preserve"> le risque prioritaire → orienter vers service/erreurs.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Service</w:t>
      </w:r>
      <w:r>
        <w:rPr/>
        <w:t xml:space="preserve"> — OTIF : calcul, classification excellente, reconnaissance explicite → Erreurs : classification acceptable, nuance « corrigeable » → Corrélation picking/réception → risque OTIF à J-90.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Diagnostic</w:t>
      </w:r>
      <w:r>
        <w:rPr/>
        <w:t xml:space="preserve"> — Reconnaissance de l'excellence OTIF → Risque erreurs 4 % à horizon J-90 → Recommandation programme qualité/formation → Plan chiffré (cible %, échéance, rythme de revue) → Décision : financer qualité plutôt que destock.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8"/>
        </w:numPr>
        <w:spacing w:lineRule="auto"/>
      </w:pPr>
      <w:r>
        <w:rPr/>
        <w:t xml:space="preserve">Qualifier 95 % de « faible » ou « acceptable » — mauvaise bande.</w:t>
      </w:r>
    </w:p>
    <w:p>
      <w:pPr>
        <w:numPr>
          <w:ilvl w:val="0"/>
          <w:numId w:val="8"/>
        </w:numPr>
        <w:spacing w:lineRule="auto"/>
      </w:pPr>
      <w:r>
        <w:rPr/>
        <w:t xml:space="preserve">Analyser l'OTIF </w:t>
      </w:r>
      <w:r>
        <w:rPr>
          <w:b/>
        </w:rPr>
        <w:t xml:space="preserve">sans</w:t>
      </w:r>
      <w:r>
        <w:rPr/>
        <w:t xml:space="preserve"> traiter le taux d'erreur.</w:t>
      </w:r>
    </w:p>
    <w:p>
      <w:pPr>
        <w:numPr>
          <w:ilvl w:val="0"/>
          <w:numId w:val="8"/>
        </w:numPr>
        <w:spacing w:lineRule="auto"/>
      </w:pPr>
      <w:r>
        <w:rPr/>
        <w:t xml:space="preserve">Dire « tout va bien » sans plan — tombe dans la complaisance du piège vert.</w:t>
      </w:r>
    </w:p>
    <w:p>
      <w:pPr>
        <w:numPr>
          <w:ilvl w:val="0"/>
          <w:numId w:val="8"/>
        </w:numPr>
        <w:spacing w:lineRule="auto"/>
      </w:pPr>
      <w:r>
        <w:rPr/>
        <w:t xml:space="preserve">Proposer le </w:t>
      </w:r>
      <w:r>
        <w:rPr>
          <w:b/>
        </w:rPr>
        <w:t xml:space="preserve">destock</w:t>
      </w:r>
      <w:r>
        <w:rPr/>
        <w:t xml:space="preserve"> comme levier principal — hors sujet.</w:t>
      </w:r>
    </w:p>
    <w:p>
      <w:pPr>
        <w:numPr>
          <w:ilvl w:val="0"/>
          <w:numId w:val="8"/>
        </w:numPr>
        <w:spacing w:lineRule="auto"/>
      </w:pPr>
      <w:r>
        <w:rPr/>
        <w:t xml:space="preserve">Plan sans </w:t>
      </w:r>
      <w:r>
        <w:rPr>
          <w:b/>
        </w:rPr>
        <w:t xml:space="preserve">cible chiffrée</w:t>
      </w:r>
      <w:r>
        <w:rPr/>
        <w:t xml:space="preserve">, sans </w:t>
      </w:r>
      <w:r>
        <w:rPr>
          <w:b/>
        </w:rPr>
        <w:t xml:space="preserve">horizon 90 jours</w:t>
      </w:r>
      <w:r>
        <w:rPr/>
        <w:t xml:space="preserve"> ni </w:t>
      </w:r>
      <w:r>
        <w:rPr>
          <w:b/>
        </w:rPr>
        <w:t xml:space="preserve">rythme de suivi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Reprendre la logique capital/destock de SCN-012.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Tableau vert :</w:t>
      </w:r>
      <w:r>
        <w:rPr/>
        <w:t xml:space="preserve"> dashboard vert, exécution ambre — ne pas se laisser rassurer par l'OTIF seul.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Analyse incomplète :</w:t>
      </w:r>
      <w:r>
        <w:rPr/>
        <w:t xml:space="preserve"> l'étape service exige </w:t>
      </w:r>
      <w:r>
        <w:rPr>
          <w:b/>
        </w:rPr>
        <w:t xml:space="preserve">deux</w:t>
      </w:r>
      <w:r>
        <w:rPr/>
        <w:t xml:space="preserve"> indicateurs, pas un seul.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Mauvais levier :</w:t>
      </w:r>
      <w:r>
        <w:rPr/>
        <w:t xml:space="preserve"> le renouvellement SLA se joue sur la </w:t>
      </w:r>
      <w:r>
        <w:rPr>
          <w:b/>
        </w:rPr>
        <w:t xml:space="preserve">qualité d'exécution</w:t>
      </w:r>
      <w:r>
        <w:rPr/>
        <w:t xml:space="preserve">, pas sur le stock.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SCN-014 — Arbitrage S&amp;OP multi-KPI (capstone M4)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Directeur des opérations — comité S&amp;OP (budget pour </w:t>
      </w:r>
      <w:r>
        <w:rPr>
          <w:b/>
        </w:rPr>
        <w:t xml:space="preserve">une seule</w:t>
      </w:r>
      <w:r>
        <w:rPr/>
        <w:t xml:space="preserve"> initiative)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Arbitrer CFO (capital), Ventes (OTIF), Ops (erreurs) et supply (délai 3,5 j).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l'</w:t>
      </w:r>
      <w:r>
        <w:rPr>
          <w:b/>
        </w:rPr>
        <w:t xml:space="preserve">optimisation mono-KPI</w:t>
      </w:r>
      <w:r>
        <w:rPr/>
        <w:t xml:space="preserve"> (une lentille au détriment des autres).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Conflit CFO / Ventes / Ops ; </w:t>
            </w:r>
          </w:p>
          <w:p>
            <w:pPr>
              <w:spacing w:lineRule="auto"/>
            </w:pPr>
            <w:r>
              <w:rPr>
                <w:b/>
              </w:rPr>
              <w:t xml:space="preserve">une</w:t>
            </w:r>
          </w:p>
          <w:p>
            <w:pPr>
              <w:spacing w:lineRule="auto"/>
            </w:pPr>
            <w:r>
              <w:rPr/>
              <w:t xml:space="preserve"> initiative financée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Quatre lentilles : rotation, service, erreurs, </w:t>
            </w:r>
          </w:p>
          <w:p>
            <w:pPr>
              <w:spacing w:lineRule="auto"/>
            </w:pPr>
            <w:r>
              <w:rPr>
                <w:b/>
              </w:rPr>
              <w:t xml:space="preserve">délai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Compétences SCN-012 et 013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capstone </w:t>
            </w:r>
          </w:p>
          <w:p>
            <w:pPr>
              <w:spacing w:lineRule="auto"/>
            </w:pPr>
            <w:r>
              <w:rPr>
                <w:b/>
              </w:rPr>
              <w:t xml:space="preserve">intègre</w:t>
            </w:r>
          </w:p>
          <w:p>
            <w:pPr>
              <w:spacing w:lineRule="auto"/>
            </w:pPr>
            <w:r>
              <w:rPr/>
              <w:t xml:space="preserve"> rotation/capital et piège tableau vert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Annexe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Toutes les bandes disponibles pour arbitrer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à lire — lentilles parties prenantes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Lentille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 pour l'arbitrage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 6× + capital 48 000 $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Normal — pression cash, pas urgence surstock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OTIF 95 %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Excellent — </w:t>
            </w:r>
          </w:p>
          <w:p>
            <w:pPr>
              <w:spacing w:lineRule="auto"/>
            </w:pPr>
            <w:r>
              <w:rPr>
                <w:b/>
              </w:rPr>
              <w:t xml:space="preserve">à préserver</w:t>
            </w:r>
          </w:p>
          <w:p>
            <w:pPr>
              <w:spacing w:lineRule="auto"/>
            </w:pPr>
            <w:r>
              <w:rPr/>
              <w:t xml:space="preserve"> dans tout trade-off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Erreurs 4 %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Acceptables — fragilité cachée, levier qualité naturel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Supply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Délai 3,5 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Normal — </w:t>
            </w:r>
          </w:p>
          <w:p>
            <w:pPr>
              <w:spacing w:lineRule="auto"/>
            </w:pPr>
            <w:r>
              <w:rPr>
                <w:b/>
              </w:rPr>
              <w:t xml:space="preserve">doit figurer</w:t>
            </w:r>
          </w:p>
          <w:p>
            <w:pPr>
              <w:spacing w:lineRule="auto"/>
            </w:pPr>
            <w:r>
              <w:rPr/>
              <w:t xml:space="preserve"> dans la synthèse intégrée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Domaine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Cadrage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S&amp;OP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arbitrage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initiative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trade-off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ventes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Données et rotation : ouvrir l'arbitrage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normale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6×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capital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48 000 $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contexte CFO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Lentille finance — input, pas décision isolée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excellent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95 %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erreurs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4 %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qualité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exécution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préserver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Lentille ventes + ops — tension explicite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délai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3,5 j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lead time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trade-off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reporte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maintien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priorité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sacrifice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90 jours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initiative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Synthèse board : ≥ 3 domaines KPI, idéal 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surstock</w:t>
      </w:r>
      <w:r>
        <w:rPr/>
        <w:t xml:space="preserve"> à 6×, diagnostic mono-KPI, omission du délai, liste de souhaits sans </w:t>
      </w:r>
      <w:r>
        <w:rPr>
          <w:b/>
        </w:rPr>
        <w:t xml:space="preserve">une</w:t>
      </w:r>
      <w:r>
        <w:rPr/>
        <w:t xml:space="preserve"> initiative clairement financée.</w:t>
      </w:r>
    </w:p>
    <w:p>
      <w:pPr>
        <w:pStyle w:val="Heading3"/>
        <w:spacing w:lineRule="auto"/>
      </w:pPr>
      <w:r>
        <w:rPr/>
        <w:t xml:space="preserve">Structure de réponse par étape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Données KPI</w:t>
      </w:r>
      <w:r>
        <w:rPr/>
        <w:t xml:space="preserve"> — Cadrer la réunion S&amp;OP et la contrainte budget unique ; lister les </w:t>
      </w:r>
      <w:r>
        <w:rPr>
          <w:b/>
        </w:rPr>
        <w:t xml:space="preserve">quatre</w:t>
      </w:r>
      <w:r>
        <w:rPr/>
        <w:t xml:space="preserve"> lentilles KPI.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Rotation</w:t>
      </w:r>
      <w:r>
        <w:rPr/>
        <w:t xml:space="preserve"> — Classer normale + relier au capital → indiquer que toute action stock s'intègre à l'arbitrage global.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Service</w:t>
      </w:r>
      <w:r>
        <w:rPr/>
        <w:t xml:space="preserve"> — OTIF excellent (enjeu ventes) + erreurs acceptables (enjeu ops) → tension : maintenir le service tout en corrigeant l'exécution.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Diagnostic (paragraphe board)</w:t>
      </w:r>
      <w:r>
        <w:rPr/>
        <w:t xml:space="preserve"> — Contexte S&amp;OP → Panorama ≥ 3 domaines KPI (idéal : les 4, </w:t>
      </w:r>
      <w:r>
        <w:rPr>
          <w:b/>
        </w:rPr>
        <w:t xml:space="preserve">délai inclus</w:t>
      </w:r>
      <w:r>
        <w:rPr/>
        <w:t xml:space="preserve">) → </w:t>
      </w:r>
      <w:r>
        <w:rPr>
          <w:b/>
        </w:rPr>
        <w:t xml:space="preserve">Une</w:t>
      </w:r>
      <w:r>
        <w:rPr/>
        <w:t xml:space="preserve"> initiative prioritaire justifiée → </w:t>
      </w:r>
      <w:r>
        <w:rPr>
          <w:b/>
        </w:rPr>
        <w:t xml:space="preserve">Trade-off explicite</w:t>
      </w:r>
      <w:r>
        <w:rPr/>
        <w:t xml:space="preserve"> (ce qui est reporté ou maintenu) → Horizon 90 jours + KPI de suivi nommés.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1"/>
        </w:numPr>
        <w:spacing w:lineRule="auto"/>
      </w:pPr>
      <w:r>
        <w:rPr/>
        <w:t xml:space="preserve">Décision basée sur </w:t>
      </w:r>
      <w:r>
        <w:rPr>
          <w:b/>
        </w:rPr>
        <w:t xml:space="preserve">un seul</w:t>
      </w:r>
      <w:r>
        <w:rPr/>
        <w:t xml:space="preserve"> KPI.</w:t>
      </w:r>
    </w:p>
    <w:p>
      <w:pPr>
        <w:numPr>
          <w:ilvl w:val="0"/>
          <w:numId w:val="11"/>
        </w:numPr>
        <w:spacing w:lineRule="auto"/>
      </w:pPr>
      <w:r>
        <w:rPr/>
        <w:t xml:space="preserve">Oublier le </w:t>
      </w:r>
      <w:r>
        <w:rPr>
          <w:b/>
        </w:rPr>
        <w:t xml:space="preserve">délai 3,5 j</w:t>
      </w:r>
      <w:r>
        <w:rPr/>
        <w:t xml:space="preserve"> dans la synthèse.</w:t>
      </w:r>
    </w:p>
    <w:p>
      <w:pPr>
        <w:numPr>
          <w:ilvl w:val="0"/>
          <w:numId w:val="11"/>
        </w:numPr>
        <w:spacing w:lineRule="auto"/>
      </w:pPr>
      <w:r>
        <w:rPr/>
        <w:t xml:space="preserve">Liste de souhaits sans initiative clairement financée.</w:t>
      </w:r>
    </w:p>
    <w:p>
      <w:pPr>
        <w:numPr>
          <w:ilvl w:val="0"/>
          <w:numId w:val="11"/>
        </w:numPr>
        <w:spacing w:lineRule="auto"/>
      </w:pPr>
      <w:r>
        <w:rPr/>
        <w:t xml:space="preserve">Reprendre SCN-012 ou SCN-013 </w:t>
      </w:r>
      <w:r>
        <w:rPr>
          <w:b/>
        </w:rPr>
        <w:t xml:space="preserve">isolément</w:t>
      </w:r>
      <w:r>
        <w:rPr/>
        <w:t xml:space="preserve"> sans intégration S&amp;OP.</w:t>
      </w:r>
    </w:p>
    <w:p>
      <w:pPr>
        <w:numPr>
          <w:ilvl w:val="0"/>
          <w:numId w:val="11"/>
        </w:numPr>
        <w:spacing w:lineRule="auto"/>
      </w:pPr>
      <w:r>
        <w:rPr/>
        <w:t xml:space="preserve">Trade-off </w:t>
      </w:r>
      <w:r>
        <w:rPr>
          <w:b/>
        </w:rPr>
        <w:t xml:space="preserve">implicite</w:t>
      </w:r>
      <w:r>
        <w:rPr/>
        <w:t xml:space="preserve"> seulement — formulez clairement ce que vous maintenez vs ce que vous reportez.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Délai invisible :</w:t>
      </w:r>
      <w:r>
        <w:rPr/>
        <w:t xml:space="preserve"> souvent oublié si vous vous arrêtez aux trois KPI « habituels ».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Capstone ≠ scénario isolé :</w:t>
      </w:r>
      <w:r>
        <w:rPr/>
        <w:t xml:space="preserve"> intégrez rotation/capital (012) </w:t>
      </w:r>
      <w:r>
        <w:rPr>
          <w:b/>
        </w:rPr>
        <w:t xml:space="preserve">et</w:t>
      </w:r>
      <w:r>
        <w:rPr/>
        <w:t xml:space="preserve"> piège vert (013).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Triangle d'arbitrage :</w:t>
      </w:r>
      <w:r>
        <w:rPr/>
        <w:t xml:space="preserve"> cash (rotation/capital) · service (OTIF) · exécution (erreurs) · supply (délai).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5 — Peak Week (simulation intégrée)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exécutez</w:t>
      </w:r>
      <w:r>
        <w:rPr/>
        <w:t xml:space="preserve"> un cycle entrepôt, puis </w:t>
      </w:r>
      <w:r>
        <w:rPr>
          <w:b/>
        </w:rPr>
        <w:t xml:space="preserve">dérivez</w:t>
      </w:r>
      <w:r>
        <w:rPr/>
        <w:t xml:space="preserve"> vos KPI du moniteur. Ne recopiez pas les chiffres du portefeuille Module 4.</w:t>
      </w:r>
    </w:p>
    <w:p>
      <w:pPr>
        <w:spacing w:lineRule="auto"/>
      </w:pPr>
      <w:r>
        <w:rPr>
          <w:b/>
        </w:rPr>
        <w:t xml:space="preserve">Chaîne ops :</w:t>
      </w:r>
      <w:r>
        <w:rPr/>
        <w:t xml:space="preserve"> Réception → Rangement → Comptage → [Ajustement SCN-016] → Réappro → KPI → Décision → Conformité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SCN-015 — Cycle opérationnel nominal (Peak Week Jour 1)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Gestionnaire logistique — cycle sans anomalie (7 étapes)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Prouver que les KPI viennent de l'exécution ; décision </w:t>
      </w:r>
      <w:r>
        <w:rPr>
          <w:b/>
        </w:rPr>
        <w:t xml:space="preserve">tactique</w:t>
      </w:r>
      <w:r>
        <w:rPr/>
        <w:t xml:space="preserve"> post-cycle.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confondre les </w:t>
      </w:r>
      <w:r>
        <w:rPr>
          <w:b/>
        </w:rPr>
        <w:t xml:space="preserve">cibles d'affichage</w:t>
      </w:r>
      <w:r>
        <w:rPr/>
        <w:t xml:space="preserve"> (contexte M4) et les </w:t>
      </w:r>
      <w:r>
        <w:rPr>
          <w:b/>
        </w:rPr>
        <w:t xml:space="preserve">valeurs à soumettre</w:t>
      </w:r>
      <w:r>
        <w:rPr/>
        <w:t xml:space="preserve"> (ledger).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étapes listées ; contrat SKU / quantité / PO / bin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initial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Vide</w:t>
            </w:r>
          </w:p>
          <w:p>
            <w:pPr>
              <w:spacing w:lineRule="auto"/>
            </w:pPr>
            <w:r>
              <w:rPr/>
              <w:t xml:space="preserve"> — normal ; première preuve après réception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Transactions GR → PUTAWAY → CC → REPLENISH s'enchaînent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Cibles de </w:t>
            </w:r>
          </w:p>
          <w:p>
            <w:pPr>
              <w:spacing w:lineRule="auto"/>
            </w:pPr>
            <w:r>
              <w:rPr>
                <w:b/>
              </w:rPr>
              <w:t xml:space="preserve">contexte</w:t>
            </w:r>
          </w:p>
          <w:p>
            <w:pPr>
              <w:spacing w:lineRule="auto"/>
            </w:pPr>
            <w:r>
              <w:rPr/>
              <w:t xml:space="preserve"> ≠ valeurs à </w:t>
            </w:r>
          </w:p>
          <w:p>
            <w:pPr>
              <w:spacing w:lineRule="auto"/>
            </w:pPr>
            <w:r>
              <w:rPr>
                <w:b/>
              </w:rPr>
              <w:t xml:space="preserve">soumettre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M5_KPI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 d'ancrage ledger + confirmation depuis moniteur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Ordre strict des étapes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qu'il faut comprendre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Avant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(cibles)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Références pédagogiques — </w:t>
            </w:r>
          </w:p>
          <w:p>
            <w:pPr>
              <w:spacing w:lineRule="auto"/>
            </w:pPr>
            <w:r>
              <w:rPr>
                <w:b/>
              </w:rPr>
              <w:t xml:space="preserve">pas</w:t>
            </w:r>
          </w:p>
          <w:p>
            <w:pPr>
              <w:spacing w:lineRule="auto"/>
            </w:pPr>
            <w:r>
              <w:rPr/>
              <w:t xml:space="preserve"> vos chiffres finaux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Après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/ ledger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réel, consommation dérivée, valeur stock </w:t>
            </w:r>
          </w:p>
          <w:p>
            <w:pPr>
              <w:spacing w:lineRule="auto"/>
            </w:pPr>
            <w:r>
              <w:rPr>
                <w:b/>
              </w:rPr>
              <w:t xml:space="preserve">à votre échelle SKU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M5_KPI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Rotation, service, erreurs calculés </w:t>
            </w:r>
          </w:p>
          <w:p>
            <w:pPr>
              <w:spacing w:lineRule="auto"/>
            </w:pPr>
            <w:r>
              <w:rPr>
                <w:b/>
              </w:rPr>
              <w:t xml:space="preserve">depuis votre run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Réappro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vs min/max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stock ≥ min → pas de commande (Q = 0)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Valeurs </w:t>
            </w:r>
          </w:p>
          <w:p>
            <w:pPr>
              <w:spacing w:lineRule="auto"/>
            </w:pPr>
            <w:r>
              <w:rPr>
                <w:b/>
              </w:rPr>
              <w:t xml:space="preserve">fiche mission</w:t>
            </w:r>
          </w:p>
          <w:p>
            <w:pPr>
              <w:spacing w:lineRule="auto"/>
            </w:pPr>
            <w:r>
              <w:rPr/>
              <w:t xml:space="preserve"> (SKU, PO, quantité),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réception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contrat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Saisie conforme au contrat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B-01-R1-L1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LOT-M5-A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source → destination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Comptage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système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physique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cohérence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Nominal : variance nulle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Réappro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 =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suffisant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minimum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pas de commande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Comparer stock actuel au 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moniteur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ledger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dérivé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snapshot</w:t>
            </w:r>
          </w:p>
          <w:p>
            <w:pPr>
              <w:spacing w:lineRule="auto"/>
            </w:pPr>
            <w:r>
              <w:rPr/>
              <w:t xml:space="preserve">, chiffres </w:t>
            </w:r>
          </w:p>
          <w:p>
            <w:pPr>
              <w:spacing w:lineRule="auto"/>
            </w:pPr>
            <w:r>
              <w:rPr>
                <w:b/>
              </w:rPr>
              <w:t xml:space="preserve">de votre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Lire le panel, confirmer l'ancrage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rotation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service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erreur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formation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procédure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améliorer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recommande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Synthèse KPI + action tactique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 valeurs portefeuille M4 (</w:t>
      </w:r>
      <w:r>
        <w:rPr/>
        <w:t xml:space="preserve">400</w:t>
      </w:r>
      <w:r>
        <w:rPr/>
        <w:t xml:space="preserve">, </w:t>
      </w:r>
      <w:r>
        <w:rPr/>
        <w:t xml:space="preserve">48 000 $</w:t>
      </w:r>
      <w:r>
        <w:rPr/>
        <w:t xml:space="preserve">), structure board longue (réservée SCN-017), </w:t>
      </w:r>
      <w:r>
        <w:rPr/>
        <w:t xml:space="preserve">destock global</w:t>
      </w:r>
      <w:r>
        <w:rPr/>
        <w:t xml:space="preserve">, </w:t>
      </w:r>
      <w:r>
        <w:rPr/>
        <w:t xml:space="preserve">surstock</w:t>
      </w:r>
      <w:r>
        <w:rPr/>
        <w:t xml:space="preserve"> à 6×.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spacing w:lineRule="auto"/>
      </w:pPr>
      <w:r>
        <w:rPr>
          <w:b/>
        </w:rPr>
        <w:t xml:space="preserve">Ops (étapes 1 à 4) :</w:t>
      </w:r>
      <w:r>
        <w:rPr/>
        <w:t xml:space="preserve"> exécuter le cycle complet dans l'ordre — réception conforme au contrat → rangement avec bin et lot corrects → comptage avec variance nulle → réappro avec Q = 0 si stock ≥ min.</w:t>
      </w:r>
    </w:p>
    <w:p>
      <w:pPr>
        <w:spacing w:lineRule="auto"/>
      </w:pPr>
      <w:r>
        <w:rPr>
          <w:b/>
        </w:rPr>
        <w:t xml:space="preserve">Snapshot KPI :</w:t>
      </w:r>
      <w:r>
        <w:rPr/>
        <w:t xml:space="preserve"> lire chaque champ depuis le moniteur → saisir les valeurs dérivées → confirmer l'ancrage → classer rotation / service / erreurs dans les bandes M4.</w:t>
      </w:r>
    </w:p>
    <w:p>
      <w:pPr>
        <w:spacing w:lineRule="auto"/>
      </w:pPr>
      <w:r>
        <w:rPr>
          <w:b/>
        </w:rPr>
        <w:t xml:space="preserve">Décision tactique :</w:t>
      </w:r>
    </w:p>
    <w:p>
      <w:pPr>
        <w:numPr>
          <w:ilvl w:val="0"/>
          <w:numId w:val="13"/>
        </w:numPr>
        <w:spacing w:lineRule="auto"/>
      </w:pPr>
      <w:r>
        <w:rPr/>
        <w:t xml:space="preserve">Synthèse KPI snapshot (rotation, service, erreurs — bandes).</w:t>
      </w:r>
    </w:p>
    <w:p>
      <w:pPr>
        <w:numPr>
          <w:ilvl w:val="0"/>
          <w:numId w:val="13"/>
        </w:numPr>
        <w:spacing w:lineRule="auto"/>
      </w:pPr>
      <w:r>
        <w:rPr/>
        <w:t xml:space="preserve">Constat ops : réappro nécessaire ou non.</w:t>
      </w:r>
    </w:p>
    <w:p>
      <w:pPr>
        <w:numPr>
          <w:ilvl w:val="0"/>
          <w:numId w:val="13"/>
        </w:numPr>
        <w:spacing w:lineRule="auto"/>
      </w:pPr>
      <w:r>
        <w:rPr/>
        <w:t xml:space="preserve">Action immédiate : ex. formation picking / revue procédure réception.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4"/>
        </w:numPr>
        <w:spacing w:lineRule="auto"/>
      </w:pPr>
      <w:r>
        <w:rPr/>
        <w:t xml:space="preserve">Mauvais SKU, quantité, PO ou bin.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Sauter</w:t>
      </w:r>
      <w:r>
        <w:rPr/>
        <w:t xml:space="preserve"> une étape — snapshot faussé ou progression bloquée.</w:t>
      </w:r>
    </w:p>
    <w:p>
      <w:pPr>
        <w:numPr>
          <w:ilvl w:val="0"/>
          <w:numId w:val="14"/>
        </w:numPr>
        <w:spacing w:lineRule="auto"/>
      </w:pPr>
      <w:r>
        <w:rPr/>
        <w:t xml:space="preserve">Coller les valeurs </w:t>
      </w:r>
      <w:r>
        <w:rPr>
          <w:b/>
        </w:rPr>
        <w:t xml:space="preserve">Annexe A / portefeuille M4</w:t>
      </w:r>
      <w:r>
        <w:rPr/>
        <w:t xml:space="preserve"> dans M5_KPI.</w:t>
      </w:r>
    </w:p>
    <w:p>
      <w:pPr>
        <w:numPr>
          <w:ilvl w:val="0"/>
          <w:numId w:val="14"/>
        </w:numPr>
        <w:spacing w:lineRule="auto"/>
      </w:pPr>
      <w:r>
        <w:rPr/>
        <w:t xml:space="preserve">Oublier la </w:t>
      </w:r>
      <w:r>
        <w:rPr>
          <w:b/>
        </w:rPr>
        <w:t xml:space="preserve">confirmation</w:t>
      </w:r>
      <w:r>
        <w:rPr/>
        <w:t xml:space="preserve"> d'ancrage au moniteur.</w:t>
      </w:r>
    </w:p>
    <w:p>
      <w:pPr>
        <w:numPr>
          <w:ilvl w:val="0"/>
          <w:numId w:val="14"/>
        </w:numPr>
        <w:spacing w:lineRule="auto"/>
      </w:pPr>
      <w:r>
        <w:rPr/>
        <w:t xml:space="preserve">Commander un réappro alors que le stock est </w:t>
      </w:r>
      <w:r>
        <w:rPr>
          <w:b/>
        </w:rPr>
        <w:t xml:space="preserve">au-dessus du minimum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Rédiger une </w:t>
      </w:r>
      <w:r>
        <w:rPr>
          <w:b/>
        </w:rPr>
        <w:t xml:space="preserve">décision stratégique</w:t>
      </w:r>
      <w:r>
        <w:rPr/>
        <w:t xml:space="preserve"> longue (réservée à SCN-017).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Échelle SKU vs portefeuille :</w:t>
      </w:r>
      <w:r>
        <w:rPr/>
        <w:t xml:space="preserve"> votre run porte sur ~50 unités, pas 400 — ne copiez pas les chiffres M4.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Réflexe réappro :</w:t>
      </w:r>
      <w:r>
        <w:rPr/>
        <w:t xml:space="preserve"> stock suffisant → Q = 0, pas de commande par habitude.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Niveau décision :</w:t>
      </w:r>
      <w:r>
        <w:rPr/>
        <w:t xml:space="preserve"> tactique et concise — pas d'essai stratégique board.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SCN-016 — Écart inventaire et correction (Peak Week Jour 2)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Gestionnaire d'entrepôt — exception variance (8 étapes)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Gérer un écart au comptage et </w:t>
      </w:r>
      <w:r>
        <w:rPr>
          <w:b/>
        </w:rPr>
        <w:t xml:space="preserve">corriger avant</w:t>
      </w:r>
      <w:r>
        <w:rPr/>
        <w:t xml:space="preserve"> réappro, KPI et décision.</w:t>
      </w:r>
      <w:r>
        <w:rPr/>
        <w:br w:type="textWrapping"/>
      </w:r>
      <w:r>
        <w:rPr>
          <w:b/>
        </w:rPr>
        <w:t xml:space="preserve">Règle d'or :</w:t>
      </w:r>
      <w:r>
        <w:rPr>
          <w:b/>
        </w:rPr>
        <w:t xml:space="preserve">Réconcilier d'abord, décider ensuite.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piloter (réappro, KPI, décision) sur un stock système non réconcilié.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Variance attendue au comptage ; ADJ requis avant la suite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Comptage (M5_CYCLE_COUNT)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entre stock </w:t>
            </w:r>
          </w:p>
          <w:p>
            <w:pPr>
              <w:spacing w:lineRule="auto"/>
            </w:pPr>
            <w:r>
              <w:rPr>
                <w:b/>
              </w:rPr>
              <w:t xml:space="preserve">système</w:t>
            </w:r>
          </w:p>
          <w:p>
            <w:pPr>
              <w:spacing w:lineRule="auto"/>
            </w:pPr>
            <w:r>
              <w:rPr/>
              <w:t xml:space="preserve"> et </w:t>
            </w:r>
          </w:p>
          <w:p>
            <w:pPr>
              <w:spacing w:lineRule="auto"/>
            </w:pPr>
            <w:r>
              <w:rPr>
                <w:b/>
              </w:rPr>
              <w:t xml:space="preserve">physique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M5_ADJ (MI07)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Injectée dynamiquement — </w:t>
            </w:r>
          </w:p>
          <w:p>
            <w:pPr>
              <w:spacing w:lineRule="auto"/>
            </w:pPr>
            <w:r>
              <w:rPr>
                <w:b/>
              </w:rPr>
              <w:t xml:space="preserve">8 étapes</w:t>
            </w:r>
          </w:p>
          <w:p>
            <w:pPr>
              <w:spacing w:lineRule="auto"/>
            </w:pPr>
            <w:r>
              <w:rPr/>
              <w:t xml:space="preserve"> au lieu de 7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Signal OIL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Alerte variance ; KPI bloqué tant que l'écart est ouvert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 ADJ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Champ texte — expliquer la réconciliation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Focus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 comptage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Système vs physique → </w:t>
            </w:r>
          </w:p>
          <w:p>
            <w:pPr>
              <w:spacing w:lineRule="auto"/>
            </w:pPr>
            <w:r>
              <w:rPr>
                <w:b/>
              </w:rPr>
              <w:t xml:space="preserve">delta</w:t>
            </w:r>
          </w:p>
          <w:p>
            <w:pPr>
              <w:spacing w:lineRule="auto"/>
            </w:pPr>
            <w:r>
              <w:rPr/>
              <w:t xml:space="preserve"> (écart signé)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Post-ADJ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corrigé — base fiable pour réappro et snapshot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M5_KPI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Valeurs </w:t>
            </w:r>
          </w:p>
          <w:p>
            <w:pPr>
              <w:spacing w:lineRule="auto"/>
            </w:pPr>
            <w:r>
              <w:rPr>
                <w:b/>
              </w:rPr>
              <w:t xml:space="preserve">après correction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Réappro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Utiliser le stock </w:t>
            </w:r>
          </w:p>
          <w:p>
            <w:pPr>
              <w:spacing w:lineRule="auto"/>
            </w:pPr>
            <w:r>
              <w:rPr>
                <w:b/>
              </w:rPr>
              <w:t xml:space="preserve">post-correction</w:t>
            </w:r>
          </w:p>
          <w:p>
            <w:pPr>
              <w:spacing w:lineRule="auto"/>
            </w:pPr>
            <w:r>
              <w:rPr/>
              <w:t xml:space="preserve">, pas le stock pré-écart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Comptage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système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physique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MI04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investigation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Calculer et </w:t>
            </w:r>
          </w:p>
          <w:p>
            <w:pPr>
              <w:spacing w:lineRule="auto"/>
            </w:pPr>
            <w:r>
              <w:rPr>
                <w:b/>
              </w:rPr>
              <w:t xml:space="preserve">signer</w:t>
            </w:r>
          </w:p>
          <w:p>
            <w:pPr>
              <w:spacing w:lineRule="auto"/>
            </w:pPr>
            <w:r>
              <w:rPr/>
              <w:t xml:space="preserve"> l'écart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MI07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ajustement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réconciliation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justification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corrigé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Poster correction + justification métier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Réappro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post-correction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 =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suffisant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minimum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= stock réconcilié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post-ADJ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ledger corrigé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snapshot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réconcilié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après correction uniquement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correction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fiabilité inventaire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comptage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formation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service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Mentionner la résolution de l'exception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variance 0</w:t>
      </w:r>
      <w:r>
        <w:rPr/>
        <w:t xml:space="preserve"> (incohérent J2), mauvais signe sur l'ajustement, stock pré-écart pour le réappro, valeurs portefeuille M4.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spacing w:lineRule="auto"/>
      </w:pPr>
      <w:r>
        <w:rPr>
          <w:b/>
        </w:rPr>
        <w:t xml:space="preserve">Ops :</w:t>
      </w:r>
      <w:r>
        <w:rPr/>
        <w:t xml:space="preserve"> flux nominal amont (réception + rangement) → détecter l'écart au comptage → poster l'ajustement MI07 avec justification → reprendre réappro → KPI → décision sur stock corrigé.</w:t>
      </w:r>
    </w:p>
    <w:p>
      <w:pPr>
        <w:spacing w:lineRule="auto"/>
      </w:pPr>
      <w:r>
        <w:rPr>
          <w:b/>
        </w:rPr>
        <w:t xml:space="preserve">Décision tactique :</w:t>
      </w:r>
    </w:p>
    <w:p>
      <w:pPr>
        <w:numPr>
          <w:ilvl w:val="0"/>
          <w:numId w:val="16"/>
        </w:numPr>
        <w:spacing w:lineRule="auto"/>
      </w:pPr>
      <w:r>
        <w:rPr/>
        <w:t xml:space="preserve">Confirmer écart résolu par ajustement.</w:t>
      </w:r>
    </w:p>
    <w:p>
      <w:pPr>
        <w:numPr>
          <w:ilvl w:val="0"/>
          <w:numId w:val="16"/>
        </w:numPr>
        <w:spacing w:lineRule="auto"/>
      </w:pPr>
      <w:r>
        <w:rPr/>
        <w:t xml:space="preserve">Synthèse KPI snapshot </w:t>
      </w:r>
      <w:r>
        <w:rPr>
          <w:b/>
        </w:rPr>
        <w:t xml:space="preserve">corrigé</w:t>
      </w:r>
      <w:r>
        <w:rPr/>
        <w:t xml:space="preserve"> (bandes).</w:t>
      </w:r>
    </w:p>
    <w:p>
      <w:pPr>
        <w:numPr>
          <w:ilvl w:val="0"/>
          <w:numId w:val="16"/>
        </w:numPr>
        <w:spacing w:lineRule="auto"/>
      </w:pPr>
      <w:r>
        <w:rPr/>
        <w:t xml:space="preserve">Pas de réappro si stock ≥ min (Q = 0).</w:t>
      </w:r>
    </w:p>
    <w:p>
      <w:pPr>
        <w:numPr>
          <w:ilvl w:val="0"/>
          <w:numId w:val="16"/>
        </w:numPr>
        <w:spacing w:lineRule="auto"/>
      </w:pPr>
      <w:r>
        <w:rPr/>
        <w:t xml:space="preserve">Action : revue procédure comptage / formation pour éviter récurrence.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7"/>
        </w:numPr>
        <w:spacing w:lineRule="auto"/>
      </w:pPr>
      <w:r>
        <w:rPr/>
        <w:t xml:space="preserve">Passer à réappro, KPI ou décision </w:t>
      </w:r>
      <w:r>
        <w:rPr>
          <w:b/>
        </w:rPr>
        <w:t xml:space="preserve">sans</w:t>
      </w:r>
      <w:r>
        <w:rPr/>
        <w:t xml:space="preserve"> ADJ.</w:t>
      </w:r>
    </w:p>
    <w:p>
      <w:pPr>
        <w:numPr>
          <w:ilvl w:val="0"/>
          <w:numId w:val="17"/>
        </w:numPr>
        <w:spacing w:lineRule="auto"/>
      </w:pPr>
      <w:r>
        <w:rPr/>
        <w:t xml:space="preserve">Saisir un écart non conforme à la situation injectée.</w:t>
      </w:r>
    </w:p>
    <w:p>
      <w:pPr>
        <w:numPr>
          <w:ilvl w:val="0"/>
          <w:numId w:val="17"/>
        </w:numPr>
        <w:spacing w:lineRule="auto"/>
      </w:pPr>
      <w:r>
        <w:rPr/>
        <w:t xml:space="preserve">Mauvais </w:t>
      </w:r>
      <w:r>
        <w:rPr>
          <w:b/>
        </w:rPr>
        <w:t xml:space="preserve">signe</w:t>
      </w:r>
      <w:r>
        <w:rPr/>
        <w:t xml:space="preserve"> sur l'ajustement.</w:t>
      </w:r>
    </w:p>
    <w:p>
      <w:pPr>
        <w:numPr>
          <w:ilvl w:val="0"/>
          <w:numId w:val="17"/>
        </w:numPr>
        <w:spacing w:lineRule="auto"/>
      </w:pPr>
      <w:r>
        <w:rPr/>
        <w:t xml:space="preserve">Réappro basé sur le stock </w:t>
      </w:r>
      <w:r>
        <w:rPr>
          <w:b/>
        </w:rPr>
        <w:t xml:space="preserve">pré-correction</w:t>
      </w:r>
      <w:r>
        <w:rPr/>
        <w:t xml:space="preserve">.</w:t>
      </w:r>
    </w:p>
    <w:p>
      <w:pPr>
        <w:numPr>
          <w:ilvl w:val="0"/>
          <w:numId w:val="17"/>
        </w:numPr>
        <w:spacing w:lineRule="auto"/>
      </w:pPr>
      <w:r>
        <w:rPr/>
        <w:t xml:space="preserve">ADJ sans </w:t>
      </w:r>
      <w:r>
        <w:rPr>
          <w:b/>
        </w:rPr>
        <w:t xml:space="preserve">justification</w:t>
      </w:r>
      <w:r>
        <w:rPr/>
        <w:t xml:space="preserve"> suffisamment explicite.</w:t>
      </w:r>
    </w:p>
    <w:p>
      <w:pPr>
        <w:numPr>
          <w:ilvl w:val="0"/>
          <w:numId w:val="17"/>
        </w:numPr>
        <w:spacing w:lineRule="auto"/>
      </w:pPr>
      <w:r>
        <w:rPr/>
        <w:t xml:space="preserve">Traiter comme SCN-015 (7 étapes) et oublier M5_ADJ.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Écart non corrigé → KPI non fiables :</w:t>
      </w:r>
      <w:r>
        <w:rPr/>
        <w:t xml:space="preserve"> piloter sur un stock faux mène à de mauvaises commandes et recommandations.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L'écart n'apparaît qu'au comptage</w:t>
      </w:r>
      <w:r>
        <w:rPr/>
        <w:t xml:space="preserve"> — pas avant.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8 étapes, pas 7 :</w:t>
      </w:r>
      <w:r>
        <w:rPr/>
        <w:t xml:space="preserve"> M5_ADJ est obligatoire en Jour 2.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SCN-017 — Décision stratégique capstone (Peak Week Jour 3)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Directeur logistique — recommandation au comité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Formuler une </w:t>
      </w:r>
      <w:r>
        <w:rPr>
          <w:b/>
        </w:rPr>
        <w:t xml:space="preserve">décision stratégique</w:t>
      </w:r>
      <w:r>
        <w:rPr/>
        <w:t xml:space="preserve"> de niveau direction avec preuves chiffrées.</w:t>
      </w:r>
      <w:r>
        <w:rPr/>
        <w:br w:type="textWrapping"/>
      </w:r>
      <w:r>
        <w:rPr>
          <w:b/>
        </w:rPr>
        <w:t xml:space="preserve">Niveau décision :</w:t>
      </w:r>
      <w:r>
        <w:rPr>
          <w:b/>
        </w:rPr>
        <w:t xml:space="preserve">Stratégique</w:t>
      </w:r>
      <w:r>
        <w:rPr/>
        <w:t xml:space="preserve"> (politique, investissement, organisation — pas opérationnel).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réponse tactique courte ou générique sans preuves du snapshot.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phases : ops → KPI → décision stratégique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Cycle ops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Identique au nominal (7 étapes, pas de variance)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M5_KPI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</w:t>
            </w:r>
          </w:p>
          <w:p>
            <w:pPr>
              <w:spacing w:lineRule="auto"/>
            </w:pPr>
            <w:r>
              <w:rPr>
                <w:b/>
              </w:rPr>
              <w:t xml:space="preserve">verrouillé</w:t>
            </w:r>
          </w:p>
          <w:p>
            <w:pPr>
              <w:spacing w:lineRule="auto"/>
            </w:pPr>
            <w:r>
              <w:rPr/>
              <w:t xml:space="preserve"> — panel avec valeurs dérivées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M5_DECISION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Guide structurel : preuves, arbitrage, horizon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OIL Panel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Rappel : ≥ 2 KPI chiffrés, trade-off, horizon 90–180 j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Source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Usage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Snapshot M5_KPI (votre run)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Preuves chiffrées</w:t>
            </w:r>
          </w:p>
          <w:p>
            <w:pPr>
              <w:spacing w:lineRule="auto"/>
            </w:pPr>
            <w:r>
              <w:rPr/>
              <w:t xml:space="preserve"> à citer dans la décision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Rotation, service, erreurs, délai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Classer avec les bandes apprises en M4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 stock (snapshot)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Échelle </w:t>
            </w:r>
          </w:p>
          <w:p>
            <w:pPr>
              <w:spacing w:lineRule="auto"/>
            </w:pPr>
            <w:r>
              <w:rPr>
                <w:b/>
              </w:rPr>
              <w:t xml:space="preserve">votre cycle</w:t>
            </w:r>
          </w:p>
          <w:p>
            <w:pPr>
              <w:spacing w:lineRule="auto"/>
            </w:pPr>
            <w:r>
              <w:rPr/>
              <w:t xml:space="preserve"> — pas le portefeuille 48 000 $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Trois orientations stratégiques valides</w:t>
      </w:r>
      <w:r>
        <w:rPr/>
        <w:t xml:space="preserve"> (en choisir </w:t>
      </w:r>
      <w:r>
        <w:rPr>
          <w:b/>
        </w:rPr>
        <w:t xml:space="preserve">une</w:t>
      </w:r>
      <w:r>
        <w:rPr/>
        <w:t xml:space="preserve">, argumentée) 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Orientation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Idée directrice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Qualité d'exécution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Formation, checklists, réduction erreurs avec garde-fou service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Working capital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Optimiser stock cible ; arbitrage cash vs niveau de service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Résilience 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Investir capacité préparation ; délai et volume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Exigence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Preuves KPI (≥ 2 chiffrées)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Valeurs du </w:t>
            </w:r>
          </w:p>
          <w:p>
            <w:pPr>
              <w:spacing w:lineRule="auto"/>
            </w:pPr>
            <w:r>
              <w:rPr>
                <w:b/>
              </w:rPr>
              <w:t xml:space="preserve">panneau snapshot</w:t>
            </w:r>
          </w:p>
          <w:p>
            <w:pPr>
              <w:spacing w:lineRule="auto"/>
            </w:pPr>
            <w:r>
              <w:rPr/>
              <w:t xml:space="preserve"> : rotation, OTIF, erreurs, délai, valeur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 Preuve — citer et classer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Arbitrage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arbitrage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trade-off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compromis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entre … et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sacrifice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 Arbitrage — tension explicite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Recommandation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recommandation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décision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initiative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politique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 Recommandation — initiative claire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Horizon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90 jours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180 jours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 mois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6 mois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trimestre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Section Horizon — plan mesurable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Selon orientation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formation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working capital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résilience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lead 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Adapter au choix stratégique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 actions ops pures (« poster la réception », « continuer le rangement »), texte vague sans chiffres, portefeuille M4 (</w:t>
      </w:r>
      <w:r>
        <w:rPr/>
        <w:t xml:space="preserve">48 000 $</w:t>
      </w:r>
      <w:r>
        <w:rPr/>
        <w:t xml:space="preserve">, stock 400 u.), décision tactique courte type SCN-015.</w:t>
      </w:r>
    </w:p>
    <w:p>
      <w:pPr>
        <w:pStyle w:val="Heading3"/>
        <w:spacing w:lineRule="auto"/>
      </w:pPr>
      <w:r>
        <w:rPr/>
        <w:t xml:space="preserve">Structure de réponse (décision stratégique)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Situation</w:t>
      </w:r>
      <w:r>
        <w:rPr/>
        <w:t xml:space="preserve"> — Cycle ops complété ; performance globale post-Peak Week.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Preuve</w:t>
      </w:r>
      <w:r>
        <w:rPr/>
        <w:t xml:space="preserve"> — Citer </w:t>
      </w:r>
      <w:r>
        <w:rPr>
          <w:b/>
        </w:rPr>
        <w:t xml:space="preserve">au moins deux KPI chiffrés</w:t>
      </w:r>
      <w:r>
        <w:rPr/>
        <w:t xml:space="preserve"> du snapshot (avec bandes).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Arbitrage</w:t>
      </w:r>
      <w:r>
        <w:rPr/>
        <w:t xml:space="preserve"> — Tension explicite entre options (ex. qualité vs capital vs service vs capacité).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Recommandation</w:t>
      </w:r>
      <w:r>
        <w:rPr/>
        <w:t xml:space="preserve"> — Initiative claire + objectifs mesurables.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Horizon</w:t>
      </w:r>
      <w:r>
        <w:rPr/>
        <w:t xml:space="preserve"> — Plan 90 à 180 jours + KPI de suivi nommés.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20"/>
        </w:numPr>
        <w:spacing w:lineRule="auto"/>
      </w:pPr>
      <w:r>
        <w:rPr/>
        <w:t xml:space="preserve">Décision </w:t>
      </w:r>
      <w:r>
        <w:rPr>
          <w:b/>
        </w:rPr>
        <w:t xml:space="preserve">tactique courte</w:t>
      </w:r>
      <w:r>
        <w:rPr/>
        <w:t xml:space="preserve"> (style SCN-015) — insuffisante pour le capstone.</w:t>
      </w:r>
    </w:p>
    <w:p>
      <w:pPr>
        <w:numPr>
          <w:ilvl w:val="0"/>
          <w:numId w:val="20"/>
        </w:numPr>
        <w:spacing w:lineRule="auto"/>
      </w:pPr>
      <w:r>
        <w:rPr/>
        <w:t xml:space="preserve">Texte </w:t>
      </w:r>
      <w:r>
        <w:rPr>
          <w:b/>
        </w:rPr>
        <w:t xml:space="preserve">générique</w:t>
      </w:r>
      <w:r>
        <w:rPr/>
        <w:t xml:space="preserve"> sans chiffres issus du snapshot.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Une seule</w:t>
      </w:r>
      <w:r>
        <w:rPr/>
        <w:t xml:space="preserve"> preuve KPI — la synthèse exige au moins deux citations chiffrées cohérentes.</w:t>
      </w:r>
    </w:p>
    <w:p>
      <w:pPr>
        <w:numPr>
          <w:ilvl w:val="0"/>
          <w:numId w:val="20"/>
        </w:numPr>
        <w:spacing w:lineRule="auto"/>
      </w:pPr>
      <w:r>
        <w:rPr/>
        <w:t xml:space="preserve">Recommandation </w:t>
      </w:r>
      <w:r>
        <w:rPr>
          <w:b/>
        </w:rPr>
        <w:t xml:space="preserve">sans arbitrage</w:t>
      </w:r>
      <w:r>
        <w:rPr/>
        <w:t xml:space="preserve"> — pas de tension nommée entre options.</w:t>
      </w:r>
    </w:p>
    <w:p>
      <w:pPr>
        <w:numPr>
          <w:ilvl w:val="0"/>
          <w:numId w:val="20"/>
        </w:numPr>
        <w:spacing w:lineRule="auto"/>
      </w:pPr>
      <w:r>
        <w:rPr/>
        <w:t xml:space="preserve">Plan </w:t>
      </w:r>
      <w:r>
        <w:rPr>
          <w:b/>
        </w:rPr>
        <w:t xml:space="preserve">sans horizon</w:t>
      </w:r>
      <w:r>
        <w:rPr/>
        <w:t xml:space="preserve"> 90 à 180 jours.</w:t>
      </w:r>
    </w:p>
    <w:p>
      <w:pPr>
        <w:numPr>
          <w:ilvl w:val="0"/>
          <w:numId w:val="20"/>
        </w:numPr>
        <w:spacing w:lineRule="auto"/>
      </w:pPr>
      <w:r>
        <w:rPr/>
        <w:t xml:space="preserve">Copier les chiffres </w:t>
      </w:r>
      <w:r>
        <w:rPr>
          <w:b/>
        </w:rPr>
        <w:t xml:space="preserve">portefeuille M4</w:t>
      </w:r>
      <w:r>
        <w:rPr/>
        <w:t xml:space="preserve"> si le snapshot indique votre échelle SKU.</w:t>
      </w:r>
    </w:p>
    <w:p>
      <w:pPr>
        <w:numPr>
          <w:ilvl w:val="0"/>
          <w:numId w:val="20"/>
        </w:numPr>
        <w:spacing w:lineRule="auto"/>
      </w:pPr>
      <w:r>
        <w:rPr/>
        <w:t xml:space="preserve">Réponse </w:t>
      </w:r>
      <w:r>
        <w:rPr>
          <w:b/>
        </w:rPr>
        <w:t xml:space="preserve">purement opérationnelle</w:t>
      </w:r>
      <w:r>
        <w:rPr/>
        <w:t xml:space="preserve"> — continuer les transactions au lieu de recommander une politique.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Preuves obligatoires :</w:t>
      </w:r>
      <w:r>
        <w:rPr/>
        <w:t xml:space="preserve"> la décision board s'appuie sur </w:t>
      </w:r>
      <w:r>
        <w:rPr>
          <w:b/>
        </w:rPr>
        <w:t xml:space="preserve">votre</w:t>
      </w:r>
      <w:r>
        <w:rPr/>
        <w:t xml:space="preserve"> snapshot, pas sur des généralités.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Niveau direction :</w:t>
      </w:r>
      <w:r>
        <w:rPr/>
        <w:t xml:space="preserve"> politique et investissement — pas transaction WMS.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Continuité M4 → M5 :</w:t>
      </w:r>
      <w:r>
        <w:rPr/>
        <w:t xml:space="preserve"> mêmes bandes KPI, échelle opérationnelle différente.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Arbitrage implicite insuffisant :</w:t>
      </w:r>
      <w:r>
        <w:rPr/>
        <w:t xml:space="preserve"> formulez la tension entre au moins deux dimensions.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Tableau récapitulatif — Classification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Indicateur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 de référence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Bande / statut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de classification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Rotation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Normale (4–12×)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normale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équilibrée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OTIF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95 %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Excellent (≥ 95 %)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excellent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optimal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Erreurs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Acceptable (1–5 %)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acceptable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modéré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Délai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3,5 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Normal (3–7 j)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délai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lead time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3,5 j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Progression pédagogique</w:t>
      </w:r>
    </w:p>
    <w:p>
      <w:pPr>
        <w:spacing w:lineRule="auto"/>
      </w:pPr>
      <w:r>
        <w:rPr>
          <w:rFonts w:ascii="Courier" w:hAnsi="Courier"/>
        </w:rPr>
        <w:t xml:space="preserve">MODULE 4 — Interpréter (moniteur vide = normal)   SCN-012  Rotation + capital        → politique stock, pas destock global   SCN-013  OTIF + erreurs J-90       → piège tableau vert, plan chiffré   SCN-014  S&amp;OP capstone             → arbitrage multi-KPI, délai obligatoire  MODULE 5 — Exécuter puis décider (KPI = votre ledger)   SCN-015  Cycle nominal             → ops → KPI → décision tactique   SCN-016  Variance + ADJ            → corriger avant piloter → tactique   SCN-017  Capstone stratégique      → preuves snapshot + arbitrage board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qui change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→ M4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Transactions → interprétation KPI ; pas de vocabulaire ops WMS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→ M5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Portefeuille Annexe A → chiffres ledger de </w:t>
            </w:r>
          </w:p>
          <w:p>
            <w:pPr>
              <w:spacing w:lineRule="auto"/>
            </w:pPr>
            <w:r>
              <w:rPr>
                <w:b/>
              </w:rPr>
              <w:t xml:space="preserve">votre</w:t>
            </w:r>
          </w:p>
          <w:p>
            <w:pPr>
              <w:spacing w:lineRule="auto"/>
            </w:pPr>
            <w:r>
              <w:rPr/>
              <w:t xml:space="preserve"> run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SCN-015 → SCN-017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Décision tactique courte → décision stratégique structurée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SCN-012 + 013 → 014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Compétences isolées → synthèse intégrée avec trade-off explicite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En résumé :</w:t>
      </w:r>
      <w:r>
        <w:rPr/>
        <w:t xml:space="preserve"> en Module 4 vous </w:t>
      </w:r>
      <w:r>
        <w:rPr>
          <w:b/>
        </w:rPr>
        <w:t xml:space="preserve">interprétez</w:t>
      </w:r>
      <w:r>
        <w:rPr/>
        <w:t xml:space="preserve"> des KPI portefeuille ; en Module 5 vous </w:t>
      </w:r>
      <w:r>
        <w:rPr>
          <w:b/>
        </w:rPr>
        <w:t xml:space="preserve">prouvez</w:t>
      </w:r>
      <w:r>
        <w:rPr/>
        <w:t xml:space="preserve"> vos KPI par l'exécution, puis vous </w:t>
      </w:r>
      <w:r>
        <w:rPr>
          <w:b/>
        </w:rPr>
        <w:t xml:space="preserve">décidez</w:t>
      </w:r>
      <w:r>
        <w:rPr/>
        <w:t xml:space="preserve"> au bon niveau (tactique ou stratégique) avec les chiffres que vous avez produits.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Checklist finale avant soumission</w:t>
      </w:r>
    </w:p>
    <w:p>
      <w:pPr>
        <w:spacing w:lineRule="auto"/>
      </w:pPr>
      <w:r>
        <w:rPr/>
        <w:t xml:space="preserve">Avant de soumettre votre réponse dans le simulateur, parcourez cette liste. Cochez mentalement chaque point — ou imprimez cette page pour vos révisions.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Étape de préparation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Ce que vous devez avoir fait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les slides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Parcourir le contenu pédagogique du module et du scénario en cours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la 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Identifier le rôle simulé, l'enjeu métier et les contraintes du scénario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Observer les 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Lire les indicateurs au bon endroit (tour de contrôle M4 ou moniteur M5)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Identifier les causes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Relier les KPI entre eux et repérer le piège pédagogique du scénario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Justifier la 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Structurer votre réponse avec preuves, recommandation et horizon si requis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Vérifier la cohérence avant soumission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Confirmer que vos étapes, chiffres et niveau de décision correspondent au scénario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Rappel par module</w:t>
      </w:r>
    </w:p>
    <w:p>
      <w:pPr>
        <w:spacing w:lineRule="auto"/>
      </w:pPr>
      <w:r>
        <w:rPr>
          <w:b/>
        </w:rPr>
        <w:t xml:space="preserve">Module 4 —</w:t>
      </w:r>
      <w:r>
        <w:rPr/>
        <w:t xml:space="preserve"> Moniteur vide = normal. Pas de transactions WMS. Classer les KPI avec les bandes Annexe A. Diagnostic actionnable, pas passif.</w:t>
      </w:r>
    </w:p>
    <w:p>
      <w:pPr>
        <w:spacing w:lineRule="auto"/>
      </w:pPr>
      <w:r>
        <w:rPr>
          <w:b/>
        </w:rPr>
        <w:t xml:space="preserve">Module 5 —</w:t>
      </w:r>
      <w:r>
        <w:rPr/>
        <w:t xml:space="preserve"> KPI issus de </w:t>
      </w:r>
      <w:r>
        <w:rPr>
          <w:b/>
        </w:rPr>
        <w:t xml:space="preserve">votre</w:t>
      </w:r>
      <w:r>
        <w:rPr/>
        <w:t xml:space="preserve"> run (ledger / snapshot). Ops complètes avant KPI. SCN-016 : corriger l'écart avant de piloter. SCN-017 : décision stratégique avec preuves chiffrées.</w:t>
      </w:r>
    </w:p>
    <w:p>
      <w:pPr>
        <w:pStyle w:val="Heading3"/>
        <w:spacing w:lineRule="auto"/>
      </w:pPr>
      <w:r>
        <w:rPr/>
        <w:t xml:space="preserve">Question finale</w:t>
      </w:r>
    </w:p>
    <w:p>
      <w:pPr>
        <w:spacing w:lineRule="auto"/>
      </w:pPr>
      <w:r>
        <w:rPr/>
        <w:t xml:space="preserve">« Ma réponse est-elle cohérente avec le scénario, les KPI observés et le niveau de décision attendu (tactique ou stratégique) ? »</w:t>
      </w:r>
    </w:p>
    <w:p>
      <w:pPr>
        <w:spacing w:lineRule="auto"/>
      </w:pPr>
      <w:r>
        <w:rPr/>
        <w:t xml:space="preserve">Collège de la Concorde · TEC.WMS · Simulateur pédagogique ERP/WMS · juin 2026 · Guidance pédagogique uniquement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pr%C3%A9sentation-du-guide" TargetMode="External"/>
  <Relationship Id="rId7" Type="http://schemas.openxmlformats.org/officeDocument/2006/relationships/hyperlink" Target="#r%C3%A9f%C3%A9rence-commune--bandes-kpi-annexe-a" TargetMode="External"/>
  <Relationship Id="rId8" Type="http://schemas.openxmlformats.org/officeDocument/2006/relationships/hyperlink" Target="#deux-paradigmes-%C3%A0-distinguer" TargetMode="External"/>
  <Relationship Id="rId9" Type="http://schemas.openxmlformats.org/officeDocument/2006/relationships/hyperlink" Target="#module-4--tour-de-contr%C3%B4le-kpi" TargetMode="External"/>
  <Relationship Id="rId10" Type="http://schemas.openxmlformats.org/officeDocument/2006/relationships/hyperlink" Target="#scn-012--rotation-et-capital-immobilis%C3%A9" TargetMode="External"/>
  <Relationship Id="rId11" Type="http://schemas.openxmlformats.org/officeDocument/2006/relationships/hyperlink" Target="#scn-013--service-erreurs-et-renouvellement-sla-j-90" TargetMode="External"/>
  <Relationship Id="rId12" Type="http://schemas.openxmlformats.org/officeDocument/2006/relationships/hyperlink" Target="#scn-014--arbitrage-sop-multi-kpi-capstone-m4" TargetMode="External"/>
  <Relationship Id="rId13" Type="http://schemas.openxmlformats.org/officeDocument/2006/relationships/hyperlink" Target="#module-5--peak-week-simulation-int%C3%A9gr%C3%A9e" TargetMode="External"/>
  <Relationship Id="rId14" Type="http://schemas.openxmlformats.org/officeDocument/2006/relationships/hyperlink" Target="#scn-015--cycle-op%C3%A9rationnel-nominal-peak-week-jour-1" TargetMode="External"/>
  <Relationship Id="rId15" Type="http://schemas.openxmlformats.org/officeDocument/2006/relationships/hyperlink" Target="#scn-016--%C3%A9cart-inventaire-et-correction-peak-week-jour-2" TargetMode="External"/>
  <Relationship Id="rId16" Type="http://schemas.openxmlformats.org/officeDocument/2006/relationships/hyperlink" Target="#scn-017--d%C3%A9cision-strat%C3%A9gique-capstone-peak-week-jour-3" TargetMode="External"/>
  <Relationship Id="rId17" Type="http://schemas.openxmlformats.org/officeDocument/2006/relationships/hyperlink" Target="#tableau-r%C3%A9capitulatif--classification-kpi" TargetMode="External"/>
  <Relationship Id="rId18" Type="http://schemas.openxmlformats.org/officeDocument/2006/relationships/hyperlink" Target="#progression-p%C3%A9dagogique" TargetMode="External"/>
  <Relationship Id="rId19" Type="http://schemas.openxmlformats.org/officeDocument/2006/relationships/hyperlink" Target="#checklist-finale-avant-soumission" TargetMode="External"/>
  <Relationship Id="rId20" Type="http://schemas.openxmlformats.org/officeDocument/2006/relationships/footer" Target="footer1.xml" TargetMode="Internal"/>
  <Relationship Id="rId2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2026-06-23T19:12:15.845Z</dcterms:created>
  <dcterms:modified xsi:type="dcterms:W3CDTF">2026-06-23T19:12:15.845Z</dcterms:modified>
</cp:coreProperties>
</file>