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14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 @media print {   @page {     size: A4;     margin: 2.5cm;     @bottom-center {       content: "Collège de la Concorde · TEC.WMS · Simulateur pédagogique ERP/WMS · juillet 2026";       font-size: 9pt;       color: #444;     }     @bottom-right {       content: counter(page);       font-size: 9pt;       color: #444;     }   } } .page-break {   page-break-after: always;   break-after: page; } .cover-page {   text-align: center;   padding-top: 6cm;   min-height: 24cm; } .cover-page .brand {   font-size: 2.4em;   font-weight: 700;   letter-spacing: 0.08em;   margin-bottom: 1.2em; } .cover-page .title-block h1 {   font-size: 1.6em;   font-weight: 600;   line-height: 1.4;   margin: 0.3em 0;   border: none; } .cover-page .subtitle-block {   margin-top: 4cm;   font-size: 1.1em;   line-height: 1.6;   color: #333; } .cover-page .meta {   margin-top: 3cm;   font-size: 0.95em;   color: #555; } .doc-footer {   margin-top: 2em;   padding-top: 0.8em;   border-top: 1px solid #ccc;   font-size: 0.85em;   color: #555;   text-align: center; } .checklist-page table {   width: 100%;   border-collapse: collapse; } .checklist-page td {   padding: 0.6em 0.4em;   border-bottom: 1px solid #ddd;   vertical-align: top; } .checklist-page td:first-child {   width: 2em;   font-size: 1.2em; } </w:t>
      </w:r>
    </w:p>
    <w:p>
      <w:pPr>
        <w:spacing w:lineRule="auto"/>
      </w:pPr>
      <w:r>
        <w:rPr/>
        <w:t xml:space="preserve">TEC.WMS</w:t>
      </w:r>
    </w:p>
    <w:p>
      <w:pPr>
        <w:pStyle w:val="Heading1"/>
        <w:spacing w:lineRule="auto"/>
      </w:pPr>
      <w:r>
        <w:rPr/>
        <w:t xml:space="preserve">Guide de Préparation</w:t>
      </w:r>
    </w:p>
    <w:p>
      <w:pPr>
        <w:pStyle w:val="Heading1"/>
        <w:spacing w:lineRule="auto"/>
      </w:pPr>
      <w:r>
        <w:rPr/>
        <w:t xml:space="preserve">Modules M4 et M5</w:t>
      </w:r>
    </w:p>
    <w:p>
      <w:pPr>
        <w:pStyle w:val="Heading1"/>
        <w:spacing w:lineRule="auto"/>
      </w:pPr>
      <w:r>
        <w:rPr/>
        <w:t xml:space="preserve">Raisonnement KPI et décision professionnelle</w:t>
      </w:r>
    </w:p>
    <w:p>
      <w:pPr>
        <w:spacing w:lineRule="auto"/>
      </w:pPr>
      <w:r>
        <w:rPr>
          <w:b/>
        </w:rPr>
        <w:t xml:space="preserve">Collège de la Concorde</w:t>
      </w:r>
      <w:r>
        <w:rPr/>
        <w:br w:type="textWrapping"/>
      </w:r>
      <w:r>
        <w:rPr/>
        <w:t xml:space="preserve">Simulateur pédagogique ERP/WMS</w:t>
      </w:r>
    </w:p>
    <w:p>
      <w:pPr>
        <w:spacing w:lineRule="auto"/>
      </w:pPr>
      <w:r>
        <w:rPr/>
        <w:t xml:space="preserve">Scénarios SCN-012 à SCN-017 · Seuil de réussite : 70 / 100</w:t>
      </w:r>
      <w:r>
        <w:rPr/>
        <w:br w:type="textWrapping"/>
      </w:r>
      <w:r>
        <w:rPr/>
        <w:t xml:space="preserve">Version juillet 2026 · Document étudiant</w:t>
      </w:r>
    </w:p>
    <w:p>
      <w:pPr>
        <w:pStyle w:val="Heading1"/>
        <w:spacing w:lineRule="auto"/>
      </w:pPr>
      <w:r>
        <w:rPr/>
        <w:t xml:space="preserve">Table des matières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Présentation du guide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Référence commune — Bandes KPI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Deux paradigmes à distinguer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Module 4 — Tour de contrôle KPI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Module 5 — Simulation intégrée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Tableau récapitulatif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Préparation aux évaluations de consolidation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Checklist finale</w:t>
        </w:r>
      </w:hyperlink>
    </w:p>
    <w:p>
      <w:r>
        <w:br w:type="page"/>
      </w:r>
    </w:p>
    <w:p>
      <w:pPr>
        <w:spacing w:lineRule="auto"/>
      </w:pPr>
      <w:r>
        <w:rPr/>
        <w:t xml:space="preserve">Collège de la Concorde · TEC.WMS · Simulateur pédagogique ERP/WMS · juillet 2026</w:t>
      </w:r>
    </w:p>
    <w:p>
      <w:pPr>
        <w:pStyle w:val="Heading2"/>
        <w:spacing w:lineRule="auto"/>
      </w:pPr>
      <w:r>
        <w:rPr/>
        <w:t xml:space="preserve">Présentation du guide</w:t>
      </w:r>
    </w:p>
    <w:p>
      <w:pPr>
        <w:spacing w:lineRule="auto"/>
      </w:pPr>
      <w:r>
        <w:rPr>
          <w:b/>
        </w:rPr>
        <w:t xml:space="preserve">Programme :</w:t>
      </w:r>
      <w:r>
        <w:rPr/>
        <w:t xml:space="preserve"> TEC.LOG — Simulation WMS intégrée</w:t>
      </w:r>
      <w:r>
        <w:rPr/>
        <w:br w:type="textWrapping"/>
      </w:r>
      <w:r>
        <w:rPr>
          <w:b/>
        </w:rPr>
        <w:t xml:space="preserve">Public :</w:t>
      </w:r>
      <w:r>
        <w:rPr/>
        <w:t xml:space="preserve"> étudiants en préparation à l'évaluation</w:t>
      </w:r>
      <w:r>
        <w:rPr/>
        <w:br w:type="textWrapping"/>
      </w:r>
      <w:r>
        <w:rPr>
          <w:b/>
        </w:rPr>
        <w:t xml:space="preserve">Scénarios couverts :</w:t>
      </w:r>
      <w:r>
        <w:rPr/>
        <w:t xml:space="preserve"> SCN-012 à SCN-017</w:t>
      </w:r>
      <w:r>
        <w:rPr/>
        <w:br w:type="textWrapping"/>
      </w:r>
      <w:r>
        <w:rPr>
          <w:b/>
        </w:rPr>
        <w:t xml:space="preserve">Seuil de réussite :</w:t>
      </w:r>
      <w:r>
        <w:rPr/>
        <w:t xml:space="preserve"> 70 / 100 par scénario</w:t>
      </w:r>
      <w:r>
        <w:rPr/>
        <w:br w:type="textWrapping"/>
      </w:r>
      <w:r>
        <w:rPr>
          <w:b/>
        </w:rPr>
        <w:t xml:space="preserve">Version :</w:t>
      </w:r>
      <w:r>
        <w:rPr/>
        <w:t xml:space="preserve"> juillet 2026</w:t>
      </w:r>
    </w:p>
    <w:p>
      <w:pPr>
        <w:ind w:left="284"/>
        <w:jc w:val="both"/>
        <w:spacing w:lineRule="auto"/>
      </w:pPr>
      <w:r>
        <w:rPr>
          <w:b/>
        </w:rPr>
        <w:t xml:space="preserve">Utilisez vos propres mots.</w:t>
      </w:r>
      <w:r>
        <w:rPr/>
        <w:t xml:space="preserve"> Une réponse correcte démontre le raisonnement attendu ; elle ne dépend pas d’une phrase unique.</w:t>
      </w:r>
    </w:p>
    <w:p>
      <w:pPr>
        <w:spacing w:lineRule="auto"/>
      </w:pPr>
      <w:r>
        <w:rPr/>
        <w:t xml:space="preserve">Ce guide enseigne </w:t>
      </w:r>
      <w:r>
        <w:rPr>
          <w:b/>
        </w:rPr>
        <w:t xml:space="preserve">comment observer, classer et décider</w:t>
      </w:r>
      <w:r>
        <w:rPr/>
        <w:t xml:space="preserve">. Il ne fournit pas de phrases modèles à recopier.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vous apporte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ne contient pas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regarder dans le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formulations exactes à recopier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Quelles idées votre réponse doit démontrer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listes de mots « magiques » obligatoires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 structurer un raisonnement court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logique interne du correcteur automatique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Distinguer M4 (portefeuille) et M5 (session)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réponses modèles de correcteurs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Ordre recommandé :</w:t>
      </w:r>
      <w:r>
        <w:rPr/>
        <w:t xml:space="preserve"> SCN-012 → 013 → 014 (Module 4), puis SCN-015 → 016 → 017 (Module 5).</w:t>
      </w:r>
    </w:p>
    <w:p>
      <w:pPr>
        <w:pStyle w:val="Heading2"/>
        <w:spacing w:lineRule="auto"/>
      </w:pPr>
      <w:r>
        <w:rPr/>
        <w:t xml:space="preserve">Référence commune — Bandes KPI</w:t>
      </w:r>
    </w:p>
    <w:p>
      <w:pPr>
        <w:spacing w:lineRule="auto"/>
      </w:pPr>
      <w:r>
        <w:rPr/>
        <w:t xml:space="preserve">À connaître pour </w:t>
      </w:r>
      <w:r>
        <w:rPr>
          <w:b/>
        </w:rPr>
        <w:t xml:space="preserve">interpréter</w:t>
      </w:r>
      <w:r>
        <w:rPr/>
        <w:t xml:space="preserve">, pas pour recopier une réponse 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Formule /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Bande de référence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Signal d'alerte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Consommation ÷ stock moyen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 à 12×/an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4× surstock · &gt; 12× sous-performance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Service (OTIF)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Commandes honorées ÷ 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≥ 95 %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85 % insuffisant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Erreurs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Erreurs ÷ opérations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 à 5 %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5 % critique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Délai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Délai moyen fournisseur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 à 7 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 supply chain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Module 4</w:t>
      </w:r>
      <w:r>
        <w:rPr/>
        <w:t xml:space="preserve"> — données portefeuille fournies par le tour de contrôle analytique (pas de transaction physique).</w:t>
      </w:r>
      <w:r>
        <w:rPr/>
        <w:br w:type="textWrapping"/>
      </w:r>
      <w:r>
        <w:rPr>
          <w:b/>
        </w:rPr>
        <w:t xml:space="preserve">Module 5</w:t>
      </w:r>
      <w:r>
        <w:rPr/>
        <w:t xml:space="preserve"> — KPI issus de </w:t>
      </w:r>
      <w:r>
        <w:rPr>
          <w:b/>
        </w:rPr>
        <w:t xml:space="preserve">votre run</w:t>
      </w:r>
      <w:r>
        <w:rPr/>
        <w:t xml:space="preserve"> (ledger / snapshot).  </w:t>
      </w:r>
    </w:p>
    <w:p>
      <w:pPr>
        <w:ind w:left="284"/>
        <w:jc w:val="both"/>
        <w:spacing w:lineRule="auto"/>
      </w:pPr>
      <w:r>
        <w:rPr>
          <w:b/>
        </w:rPr>
        <w:t xml:space="preserve">Les KPI du Module 5 proviennent de votre session. Ne recopiez pas les valeurs du Module 4, sauf si elles apparaissent réellement dans votre snapshot.</w:t>
      </w:r>
    </w:p>
    <w:p>
      <w:pPr>
        <w:pStyle w:val="Heading2"/>
        <w:spacing w:lineRule="auto"/>
      </w:pPr>
      <w:r>
        <w:rPr/>
        <w:t xml:space="preserve">Deux paradigmes à distinguer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5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Chaîne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Observer → Classifier → Décider → Suivre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Exécuter → Vérifier → Corriger si nécessaire → Décider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Source 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Portefeuille / tour de contrôle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de votre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 de transactions physiques — normal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Transactions ops du run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Niveau 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Analytique (politique / S&amp;OP)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Tactique (015/016) ou stratégique (017)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Seuil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4 — Tour de contrôle KPI</w:t>
      </w:r>
    </w:p>
    <w:p>
      <w:pPr>
        <w:ind w:left="284"/>
        <w:jc w:val="both"/>
        <w:spacing w:lineRule="auto"/>
      </w:pPr>
      <w:r>
        <w:rPr/>
        <w:t xml:space="preserve">Aucune transaction magasin. Interface : </w:t>
      </w:r>
      <w:r>
        <w:rPr>
          <w:b/>
        </w:rPr>
        <w:t xml:space="preserve">référence analytique</w:t>
      </w:r>
      <w:r>
        <w:rPr/>
        <w:t xml:space="preserve"> · </w:t>
      </w:r>
      <w:r>
        <w:rPr>
          <w:b/>
        </w:rPr>
        <w:t xml:space="preserve">valider l’analyse</w:t>
      </w:r>
      <w:r>
        <w:rPr/>
        <w:t xml:space="preserve"> · </w:t>
      </w:r>
      <w:r>
        <w:rPr>
          <w:b/>
        </w:rPr>
        <w:t xml:space="preserve">lecture des données KPI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SCN-012 — Rotation et politique stock</w:t>
      </w:r>
    </w:p>
    <w:p>
      <w:pPr>
        <w:spacing w:lineRule="auto"/>
      </w:pPr>
      <w:r>
        <w:rPr>
          <w:b/>
        </w:rPr>
        <w:t xml:space="preserve">Rôle :</w:t>
      </w:r>
      <w:r>
        <w:rPr/>
        <w:t xml:space="preserve"> analyste stock / revue CFO</w:t>
      </w:r>
      <w:r>
        <w:rPr/>
        <w:br w:type="textWrapping"/>
      </w:r>
      <w:r>
        <w:rPr>
          <w:b/>
        </w:rPr>
        <w:t xml:space="preserve">Longueur recommandée :</w:t>
      </w:r>
      <w:r>
        <w:rPr/>
        <w:t xml:space="preserve"> 2–3 phrases courtes</w:t>
      </w:r>
    </w:p>
    <w:p>
      <w:pPr>
        <w:pStyle w:val="Heading3"/>
        <w:spacing w:lineRule="auto"/>
      </w:pPr>
      <w:r>
        <w:rPr/>
        <w:t xml:space="preserve">Ce que vous observez</w:t>
      </w:r>
    </w:p>
    <w:p>
      <w:pPr>
        <w:spacing w:lineRule="auto"/>
      </w:pPr>
      <w:r>
        <w:rPr/>
        <w:t xml:space="preserve">Consommation annuelle et stock moyen dans le tour de contrôle.</w:t>
      </w:r>
    </w:p>
    <w:p>
      <w:pPr>
        <w:pStyle w:val="Heading3"/>
        <w:spacing w:lineRule="auto"/>
      </w:pPr>
      <w:r>
        <w:rPr/>
        <w:t xml:space="preserve">Ce que vous devez comprendre</w:t>
      </w:r>
    </w:p>
    <w:p>
      <w:pPr>
        <w:spacing w:lineRule="auto"/>
      </w:pPr>
      <w:r>
        <w:rPr/>
        <w:t xml:space="preserve">Formule : consommation ÷ stock moyen. Placer le résultat dans la bande 4–12× (ou hors bande).</w:t>
      </w:r>
      <w:r>
        <w:rPr/>
        <w:br w:type="textWrapping"/>
      </w:r>
      <w:r>
        <w:rPr/>
        <w:t xml:space="preserve">Ne pas classer une rotation dans la bande normale comme un surstock.</w:t>
      </w:r>
    </w:p>
    <w:p>
      <w:pPr>
        <w:pStyle w:val="Heading3"/>
        <w:spacing w:lineRule="auto"/>
      </w:pPr>
      <w:r>
        <w:rPr/>
        <w:t xml:space="preserve">Ce que vous devez décider</w:t>
      </w:r>
    </w:p>
    <w:p>
      <w:pPr>
        <w:spacing w:lineRule="auto"/>
      </w:pPr>
      <w:r>
        <w:rPr/>
        <w:t xml:space="preserve">Politique globale : maintenir / ne pas réduire massivement ; suivi des articles lents ou revue périodique.</w:t>
      </w:r>
    </w:p>
    <w:p>
      <w:pPr>
        <w:pStyle w:val="Heading3"/>
        <w:spacing w:lineRule="auto"/>
      </w:pPr>
      <w:r>
        <w:rPr/>
        <w:t xml:space="preserve">Ce que votre réponse doit démontrer</w:t>
      </w:r>
    </w:p>
    <w:p>
      <w:pPr>
        <w:numPr>
          <w:ilvl w:val="0"/>
          <w:numId w:val="2"/>
        </w:numPr>
        <w:spacing w:lineRule="auto"/>
      </w:pPr>
      <w:r>
        <w:rPr/>
        <w:t xml:space="preserve">Classification cohérente du taux  </w:t>
      </w:r>
    </w:p>
    <w:p>
      <w:pPr>
        <w:numPr>
          <w:ilvl w:val="0"/>
          <w:numId w:val="2"/>
        </w:numPr>
        <w:spacing w:lineRule="auto"/>
      </w:pPr>
      <w:r>
        <w:rPr/>
        <w:t xml:space="preserve">Maintien (ou absence de réduction globale)  </w:t>
      </w:r>
    </w:p>
    <w:p>
      <w:pPr>
        <w:numPr>
          <w:ilvl w:val="0"/>
          <w:numId w:val="2"/>
        </w:numPr>
        <w:spacing w:lineRule="auto"/>
      </w:pPr>
      <w:r>
        <w:rPr/>
        <w:t xml:space="preserve">Suivi / surveillance</w:t>
      </w:r>
    </w:p>
    <w:p>
      <w:pPr>
        <w:spacing w:lineRule="auto"/>
      </w:pPr>
      <w:r>
        <w:rPr/>
        <w:t xml:space="preserve">Exemples d’idées (pas de phrase unique) :</w:t>
      </w:r>
    </w:p>
    <w:p>
      <w:pPr>
        <w:numPr>
          <w:ilvl w:val="0"/>
          <w:numId w:val="3"/>
        </w:numPr>
        <w:spacing w:lineRule="auto"/>
      </w:pPr>
      <w:r>
        <w:rPr/>
        <w:t xml:space="preserve">« La rotation est normale. Je maintiens la politique et je surveille les articles qui tournent lentement. »</w:t>
      </w:r>
    </w:p>
    <w:p>
      <w:pPr>
        <w:numPr>
          <w:ilvl w:val="0"/>
          <w:numId w:val="3"/>
        </w:numPr>
        <w:spacing w:lineRule="auto"/>
      </w:pPr>
      <w:r>
        <w:rPr/>
        <w:t xml:space="preserve">« Résultat équilibré : conserver le niveau global avec un contrôle régulier des produits. »</w:t>
      </w:r>
    </w:p>
    <w:p>
      <w:pPr>
        <w:spacing w:lineRule="auto"/>
      </w:pPr>
      <w:r>
        <w:rPr/>
        <w:t xml:space="preserve">Ces formulations illustrent le raisonnement. </w:t>
      </w:r>
      <w:r>
        <w:rPr>
          <w:b/>
        </w:rPr>
        <w:t xml:space="preserve">Rédigez votre réponse avec vos propres mots.</w:t>
      </w:r>
    </w:p>
    <w:p>
      <w:pPr>
        <w:pStyle w:val="Heading3"/>
        <w:spacing w:lineRule="auto"/>
      </w:pPr>
      <w:r>
        <w:rPr/>
        <w:t xml:space="preserve">Erreurs de raisonnement à éviter</w:t>
      </w:r>
    </w:p>
    <w:p>
      <w:pPr>
        <w:numPr>
          <w:ilvl w:val="0"/>
          <w:numId w:val="4"/>
        </w:numPr>
        <w:spacing w:lineRule="auto"/>
      </w:pPr>
      <w:r>
        <w:rPr/>
        <w:t xml:space="preserve">Classer 6× (bande normale) comme surstock  </w:t>
      </w:r>
    </w:p>
    <w:p>
      <w:pPr>
        <w:numPr>
          <w:ilvl w:val="0"/>
          <w:numId w:val="4"/>
        </w:numPr>
        <w:spacing w:lineRule="auto"/>
      </w:pPr>
      <w:r>
        <w:rPr/>
        <w:t xml:space="preserve">Liquidation / destock global  </w:t>
      </w:r>
    </w:p>
    <w:p>
      <w:pPr>
        <w:numPr>
          <w:ilvl w:val="0"/>
          <w:numId w:val="4"/>
        </w:numPr>
        <w:spacing w:lineRule="auto"/>
      </w:pPr>
      <w:r>
        <w:rPr/>
        <w:t xml:space="preserve">« Rien à faire / aucun suivi »</w:t>
      </w:r>
    </w:p>
    <w:p>
      <w:pPr>
        <w:pStyle w:val="Heading2"/>
        <w:spacing w:lineRule="auto"/>
      </w:pPr>
      <w:r>
        <w:rPr/>
        <w:t xml:space="preserve">SCN-013 — Service, erreurs et SLA</w:t>
      </w:r>
    </w:p>
    <w:p>
      <w:pPr>
        <w:spacing w:lineRule="auto"/>
      </w:pPr>
      <w:r>
        <w:rPr>
          <w:b/>
        </w:rPr>
        <w:t xml:space="preserve">Rôle :</w:t>
      </w:r>
      <w:r>
        <w:rPr/>
        <w:t xml:space="preserve"> responsable service client / qualité</w:t>
      </w:r>
      <w:r>
        <w:rPr/>
        <w:br w:type="textWrapping"/>
      </w:r>
      <w:r>
        <w:rPr>
          <w:b/>
        </w:rPr>
        <w:t xml:space="preserve">Longueur recommandée :</w:t>
      </w:r>
      <w:r>
        <w:rPr/>
        <w:t xml:space="preserve"> 2–4 phrases</w:t>
      </w:r>
    </w:p>
    <w:p>
      <w:pPr>
        <w:pStyle w:val="Heading3"/>
        <w:spacing w:lineRule="auto"/>
      </w:pPr>
      <w:r>
        <w:rPr/>
        <w:t xml:space="preserve">Ce que vous observez</w:t>
      </w:r>
    </w:p>
    <w:p>
      <w:pPr>
        <w:spacing w:lineRule="auto"/>
      </w:pPr>
      <w:r>
        <w:rPr/>
        <w:t xml:space="preserve">Commandes livrées / total et erreurs opérationnelles ; horizon SLA à court terme.</w:t>
      </w:r>
    </w:p>
    <w:p>
      <w:pPr>
        <w:pStyle w:val="Heading3"/>
        <w:spacing w:lineRule="auto"/>
      </w:pPr>
      <w:r>
        <w:rPr/>
        <w:t xml:space="preserve">Ce que vous devez comprendre</w:t>
      </w:r>
    </w:p>
    <w:p>
      <w:pPr>
        <w:spacing w:lineRule="auto"/>
      </w:pPr>
      <w:r>
        <w:rPr/>
        <w:t xml:space="preserve">Comparer OTIF et taux d’erreur. Un OTIF élevé n’efface pas un risque d’exécution.</w:t>
      </w:r>
    </w:p>
    <w:p>
      <w:pPr>
        <w:pStyle w:val="Heading3"/>
        <w:spacing w:lineRule="auto"/>
      </w:pPr>
      <w:r>
        <w:rPr/>
        <w:t xml:space="preserve">Ce que vous devez décider</w:t>
      </w:r>
    </w:p>
    <w:p>
      <w:pPr>
        <w:spacing w:lineRule="auto"/>
      </w:pPr>
      <w:r>
        <w:rPr/>
        <w:t xml:space="preserve">Action qualité simple (formation, checklist, revue picking/réception, audit, contrôle) + suivi avant le SLA.</w:t>
      </w:r>
    </w:p>
    <w:p>
      <w:pPr>
        <w:pStyle w:val="Heading3"/>
        <w:spacing w:lineRule="auto"/>
      </w:pPr>
      <w:r>
        <w:rPr/>
        <w:t xml:space="preserve">Ce que votre réponse doit démontrer</w:t>
      </w:r>
    </w:p>
    <w:p>
      <w:pPr>
        <w:numPr>
          <w:ilvl w:val="0"/>
          <w:numId w:val="5"/>
        </w:numPr>
        <w:spacing w:lineRule="auto"/>
      </w:pPr>
      <w:r>
        <w:rPr/>
        <w:t xml:space="preserve">OTIF classé correctement  </w:t>
      </w:r>
    </w:p>
    <w:p>
      <w:pPr>
        <w:numPr>
          <w:ilvl w:val="0"/>
          <w:numId w:val="5"/>
        </w:numPr>
        <w:spacing w:lineRule="auto"/>
      </w:pPr>
      <w:r>
        <w:rPr/>
        <w:t xml:space="preserve">Erreurs acceptables mais à améliorer / surveiller  </w:t>
      </w:r>
    </w:p>
    <w:p>
      <w:pPr>
        <w:numPr>
          <w:ilvl w:val="0"/>
          <w:numId w:val="5"/>
        </w:numPr>
        <w:spacing w:lineRule="auto"/>
      </w:pPr>
      <w:r>
        <w:rPr/>
        <w:t xml:space="preserve">Action qualité  </w:t>
      </w:r>
    </w:p>
    <w:p>
      <w:pPr>
        <w:numPr>
          <w:ilvl w:val="0"/>
          <w:numId w:val="5"/>
        </w:numPr>
        <w:spacing w:lineRule="auto"/>
      </w:pPr>
      <w:r>
        <w:rPr/>
        <w:t xml:space="preserve">Horizon court terme / SLA / revue</w:t>
      </w:r>
    </w:p>
    <w:p>
      <w:pPr>
        <w:pStyle w:val="Heading3"/>
        <w:spacing w:lineRule="auto"/>
      </w:pPr>
      <w:r>
        <w:rPr/>
        <w:t xml:space="preserve">Erreurs de raisonnement à éviter</w:t>
      </w:r>
    </w:p>
    <w:p>
      <w:pPr>
        <w:numPr>
          <w:ilvl w:val="0"/>
          <w:numId w:val="6"/>
        </w:numPr>
        <w:spacing w:lineRule="auto"/>
      </w:pPr>
      <w:r>
        <w:rPr/>
        <w:t xml:space="preserve">OTIF 95 % classé faible  </w:t>
      </w:r>
    </w:p>
    <w:p>
      <w:pPr>
        <w:numPr>
          <w:ilvl w:val="0"/>
          <w:numId w:val="6"/>
        </w:numPr>
        <w:spacing w:lineRule="auto"/>
      </w:pPr>
      <w:r>
        <w:rPr/>
        <w:t xml:space="preserve">Erreurs 4 % présentées comme excellentes  </w:t>
      </w:r>
    </w:p>
    <w:p>
      <w:pPr>
        <w:numPr>
          <w:ilvl w:val="0"/>
          <w:numId w:val="6"/>
        </w:numPr>
        <w:spacing w:lineRule="auto"/>
      </w:pPr>
      <w:r>
        <w:rPr/>
        <w:t xml:space="preserve">Destock comme levier principal  </w:t>
      </w:r>
    </w:p>
    <w:p>
      <w:pPr>
        <w:numPr>
          <w:ilvl w:val="0"/>
          <w:numId w:val="6"/>
        </w:numPr>
        <w:spacing w:lineRule="auto"/>
      </w:pPr>
      <w:r>
        <w:rPr/>
        <w:t xml:space="preserve">« Rien à faire »</w:t>
      </w:r>
    </w:p>
    <w:p>
      <w:pPr>
        <w:pStyle w:val="Heading2"/>
        <w:spacing w:lineRule="auto"/>
      </w:pPr>
      <w:r>
        <w:rPr/>
        <w:t xml:space="preserve">SCN-014 — Arbitrage S&amp;OP (capstone M4)</w:t>
      </w:r>
    </w:p>
    <w:p>
      <w:pPr>
        <w:spacing w:lineRule="auto"/>
      </w:pPr>
      <w:r>
        <w:rPr>
          <w:b/>
        </w:rPr>
        <w:t xml:space="preserve">Rôle :</w:t>
      </w:r>
      <w:r>
        <w:rPr/>
        <w:t xml:space="preserve"> comité S&amp;OP — une seule initiative financée</w:t>
      </w:r>
      <w:r>
        <w:rPr/>
        <w:br w:type="textWrapping"/>
      </w:r>
      <w:r>
        <w:rPr>
          <w:b/>
        </w:rPr>
        <w:t xml:space="preserve">Longueur recommandée :</w:t>
      </w:r>
      <w:r>
        <w:rPr/>
        <w:t xml:space="preserve"> 3–5 phrases (réponse board concise)</w:t>
      </w:r>
    </w:p>
    <w:p>
      <w:pPr>
        <w:pStyle w:val="Heading3"/>
        <w:spacing w:lineRule="auto"/>
      </w:pPr>
      <w:r>
        <w:rPr/>
        <w:t xml:space="preserve">Ce que vous observez</w:t>
      </w:r>
    </w:p>
    <w:p>
      <w:pPr>
        <w:spacing w:lineRule="auto"/>
      </w:pPr>
      <w:r>
        <w:rPr/>
        <w:t xml:space="preserve">Ensemble des KPI (rotation, service, erreurs, délai).</w:t>
      </w:r>
    </w:p>
    <w:p>
      <w:pPr>
        <w:pStyle w:val="Heading3"/>
        <w:spacing w:lineRule="auto"/>
      </w:pPr>
      <w:r>
        <w:rPr/>
        <w:t xml:space="preserve">Ce que vous devez comprendre</w:t>
      </w:r>
    </w:p>
    <w:p>
      <w:pPr>
        <w:spacing w:lineRule="auto"/>
      </w:pPr>
      <w:r>
        <w:rPr/>
        <w:t xml:space="preserve">Situation globalement stable / contrôlée ; un seul budget à allouer.</w:t>
      </w:r>
    </w:p>
    <w:p>
      <w:pPr>
        <w:pStyle w:val="Heading3"/>
        <w:spacing w:lineRule="auto"/>
      </w:pPr>
      <w:r>
        <w:rPr/>
        <w:t xml:space="preserve">Ce que vous devez décider</w:t>
      </w:r>
    </w:p>
    <w:p>
      <w:pPr>
        <w:spacing w:lineRule="auto"/>
      </w:pPr>
      <w:r>
        <w:rPr/>
        <w:t xml:space="preserve">Une priorité ; ce qui est protégé, maintenu ou reporté ; quand réévaluer.</w:t>
      </w:r>
    </w:p>
    <w:p>
      <w:pPr>
        <w:pStyle w:val="Heading3"/>
        <w:spacing w:lineRule="auto"/>
      </w:pPr>
      <w:r>
        <w:rPr/>
        <w:t xml:space="preserve">Ce que votre réponse doit démontrer</w:t>
      </w:r>
    </w:p>
    <w:p>
      <w:pPr>
        <w:numPr>
          <w:ilvl w:val="0"/>
          <w:numId w:val="7"/>
        </w:numPr>
        <w:spacing w:lineRule="auto"/>
      </w:pPr>
      <w:r>
        <w:rPr/>
        <w:t xml:space="preserve">Lecture globale stable  </w:t>
      </w:r>
    </w:p>
    <w:p>
      <w:pPr>
        <w:numPr>
          <w:ilvl w:val="0"/>
          <w:numId w:val="7"/>
        </w:numPr>
        <w:spacing w:lineRule="auto"/>
      </w:pPr>
      <w:r>
        <w:rPr/>
        <w:t xml:space="preserve">Une priorité claire  </w:t>
      </w:r>
    </w:p>
    <w:p>
      <w:pPr>
        <w:numPr>
          <w:ilvl w:val="0"/>
          <w:numId w:val="7"/>
        </w:numPr>
        <w:spacing w:lineRule="auto"/>
      </w:pPr>
      <w:r>
        <w:rPr/>
        <w:t xml:space="preserve">Compromis explicite  </w:t>
      </w:r>
    </w:p>
    <w:p>
      <w:pPr>
        <w:numPr>
          <w:ilvl w:val="0"/>
          <w:numId w:val="7"/>
        </w:numPr>
        <w:spacing w:lineRule="auto"/>
      </w:pPr>
      <w:r>
        <w:rPr/>
        <w:t xml:space="preserve">Horizon de revue</w:t>
      </w:r>
    </w:p>
    <w:p>
      <w:pPr>
        <w:pStyle w:val="Heading3"/>
        <w:spacing w:lineRule="auto"/>
      </w:pPr>
      <w:r>
        <w:rPr/>
        <w:t xml:space="preserve">Erreurs de raisonnement à éviter</w:t>
      </w:r>
    </w:p>
    <w:p>
      <w:pPr>
        <w:numPr>
          <w:ilvl w:val="0"/>
          <w:numId w:val="8"/>
        </w:numPr>
        <w:spacing w:lineRule="auto"/>
      </w:pPr>
      <w:r>
        <w:rPr/>
        <w:t xml:space="preserve">Liste de souhaits sans priorité  </w:t>
      </w:r>
    </w:p>
    <w:p>
      <w:pPr>
        <w:numPr>
          <w:ilvl w:val="0"/>
          <w:numId w:val="8"/>
        </w:numPr>
        <w:spacing w:lineRule="auto"/>
      </w:pPr>
      <w:r>
        <w:rPr/>
        <w:t xml:space="preserve">Aucun compromis  </w:t>
      </w:r>
    </w:p>
    <w:p>
      <w:pPr>
        <w:numPr>
          <w:ilvl w:val="0"/>
          <w:numId w:val="8"/>
        </w:numPr>
        <w:spacing w:lineRule="auto"/>
      </w:pPr>
      <w:r>
        <w:rPr/>
        <w:t xml:space="preserve">Aucun horizon  </w:t>
      </w:r>
    </w:p>
    <w:p>
      <w:pPr>
        <w:numPr>
          <w:ilvl w:val="0"/>
          <w:numId w:val="8"/>
        </w:numPr>
        <w:spacing w:lineRule="auto"/>
      </w:pPr>
      <w:r>
        <w:rPr/>
        <w:t xml:space="preserve">Copier une longue rédaction modèle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5 — Simulation intégrée</w:t>
      </w:r>
    </w:p>
    <w:p>
      <w:pPr>
        <w:ind w:left="284"/>
        <w:jc w:val="both"/>
        <w:spacing w:lineRule="auto"/>
      </w:pPr>
      <w:r>
        <w:rPr/>
        <w:t xml:space="preserve">Chaîne : </w:t>
      </w:r>
      <w:r>
        <w:rPr>
          <w:b/>
        </w:rPr>
        <w:t xml:space="preserve">Exécuter → Vérifier → Corriger si nécessaire → Décider</w:t>
      </w:r>
      <w:r>
        <w:rPr/>
        <w:t xml:space="preserve">.</w:t>
      </w:r>
      <w:r>
        <w:rPr/>
        <w:t xml:space="preserve">KPI = </w:t>
      </w:r>
      <w:r>
        <w:rPr>
          <w:b/>
        </w:rPr>
        <w:t xml:space="preserve">snapshot de votre session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SCN-015 — Cycle nominal (décision tactique)</w:t>
      </w:r>
    </w:p>
    <w:p>
      <w:pPr>
        <w:spacing w:lineRule="auto"/>
      </w:pPr>
      <w:r>
        <w:rPr>
          <w:b/>
        </w:rPr>
        <w:t xml:space="preserve">Longueur recommandée :</w:t>
      </w:r>
      <w:r>
        <w:rPr/>
        <w:t xml:space="preserve"> 2–3 phrases</w:t>
      </w:r>
    </w:p>
    <w:p>
      <w:pPr>
        <w:pStyle w:val="Heading3"/>
        <w:spacing w:lineRule="auto"/>
      </w:pPr>
      <w:r>
        <w:rPr/>
        <w:t xml:space="preserve">Ce que vous observez</w:t>
      </w:r>
    </w:p>
    <w:p>
      <w:pPr>
        <w:spacing w:lineRule="auto"/>
      </w:pPr>
      <w:r>
        <w:rPr/>
        <w:t xml:space="preserve">Preuves du run (réception, putaway, comptage, réappro, KPI).</w:t>
      </w:r>
    </w:p>
    <w:p>
      <w:pPr>
        <w:pStyle w:val="Heading3"/>
        <w:spacing w:lineRule="auto"/>
      </w:pPr>
      <w:r>
        <w:rPr/>
        <w:t xml:space="preserve">Ce que vous devez comprendre</w:t>
      </w:r>
    </w:p>
    <w:p>
      <w:pPr>
        <w:spacing w:lineRule="auto"/>
      </w:pPr>
      <w:r>
        <w:rPr/>
        <w:t xml:space="preserve">Un cycle conforme peut aboutir à </w:t>
      </w:r>
      <w:r>
        <w:rPr>
          <w:b/>
        </w:rPr>
        <w:t xml:space="preserve">Q = 0</w:t>
      </w:r>
      <w:r>
        <w:rPr/>
        <w:t xml:space="preserve"> si le stock est ≥ minimum.</w:t>
      </w:r>
    </w:p>
    <w:p>
      <w:pPr>
        <w:pStyle w:val="Heading3"/>
        <w:spacing w:lineRule="auto"/>
      </w:pPr>
      <w:r>
        <w:rPr/>
        <w:t xml:space="preserve">Ce que vous devez décider</w:t>
      </w:r>
    </w:p>
    <w:p>
      <w:pPr>
        <w:spacing w:lineRule="auto"/>
      </w:pPr>
      <w:r>
        <w:rPr/>
        <w:t xml:space="preserve">Confirmer conformité ; indiquer si réappro est requis ; maintenir / surveiller.</w:t>
      </w:r>
    </w:p>
    <w:p>
      <w:pPr>
        <w:pStyle w:val="Heading3"/>
        <w:spacing w:lineRule="auto"/>
      </w:pPr>
      <w:r>
        <w:rPr/>
        <w:t xml:space="preserve">Ce que votre réponse doit démontrer</w:t>
      </w:r>
    </w:p>
    <w:p>
      <w:pPr>
        <w:spacing w:lineRule="auto"/>
      </w:pPr>
      <w:r>
        <w:rPr/>
        <w:t xml:space="preserve">Conformité nominale · décision de réappro (souvent Q = 0) · suivi léger  </w:t>
      </w:r>
    </w:p>
    <w:p>
      <w:pPr>
        <w:spacing w:lineRule="auto"/>
      </w:pPr>
      <w:r>
        <w:rPr>
          <w:b/>
        </w:rPr>
        <w:t xml:space="preserve">N’inventez pas</w:t>
      </w:r>
      <w:r>
        <w:rPr/>
        <w:t xml:space="preserve"> formation, audit ou problème fictif.</w:t>
      </w:r>
    </w:p>
    <w:p>
      <w:pPr>
        <w:pStyle w:val="Heading3"/>
        <w:spacing w:lineRule="auto"/>
      </w:pPr>
      <w:r>
        <w:rPr/>
        <w:t xml:space="preserve">Erreurs de raisonnement à éviter</w:t>
      </w:r>
    </w:p>
    <w:p>
      <w:pPr>
        <w:numPr>
          <w:ilvl w:val="0"/>
          <w:numId w:val="9"/>
        </w:numPr>
        <w:spacing w:lineRule="auto"/>
      </w:pPr>
      <w:r>
        <w:rPr/>
        <w:t xml:space="preserve">Forcer une action corrective sans écart  </w:t>
      </w:r>
    </w:p>
    <w:p>
      <w:pPr>
        <w:numPr>
          <w:ilvl w:val="0"/>
          <w:numId w:val="9"/>
        </w:numPr>
        <w:spacing w:lineRule="auto"/>
      </w:pPr>
      <w:r>
        <w:rPr/>
        <w:t xml:space="preserve">Recopier les KPI du Module 4</w:t>
      </w:r>
    </w:p>
    <w:p>
      <w:pPr>
        <w:pStyle w:val="Heading2"/>
        <w:spacing w:lineRule="auto"/>
      </w:pPr>
      <w:r>
        <w:rPr/>
        <w:t xml:space="preserve">SCN-016 — Écart puis décision tactique</w:t>
      </w:r>
    </w:p>
    <w:p>
      <w:pPr>
        <w:spacing w:lineRule="auto"/>
      </w:pPr>
      <w:r>
        <w:rPr>
          <w:b/>
        </w:rPr>
        <w:t xml:space="preserve">Règle :</w:t>
      </w:r>
      <w:r>
        <w:rPr>
          <w:b/>
        </w:rPr>
        <w:t xml:space="preserve">Réconcilier d’abord, décider ensuite.</w:t>
      </w:r>
      <w:r>
        <w:rPr/>
        <w:br w:type="textWrapping"/>
      </w:r>
      <w:r>
        <w:rPr>
          <w:b/>
        </w:rPr>
        <w:t xml:space="preserve">Longueur recommandée :</w:t>
      </w:r>
      <w:r>
        <w:rPr/>
        <w:t xml:space="preserve"> 2–4 phrases</w:t>
      </w:r>
    </w:p>
    <w:p>
      <w:pPr>
        <w:pStyle w:val="Heading3"/>
        <w:spacing w:lineRule="auto"/>
      </w:pPr>
      <w:r>
        <w:rPr/>
        <w:t xml:space="preserve">Ce que vous observez</w:t>
      </w:r>
    </w:p>
    <w:p>
      <w:pPr>
        <w:spacing w:lineRule="auto"/>
      </w:pPr>
      <w:r>
        <w:rPr/>
        <w:t xml:space="preserve">Écart au comptage ; ajustement ; stock corrigé.</w:t>
      </w:r>
    </w:p>
    <w:p>
      <w:pPr>
        <w:pStyle w:val="Heading3"/>
        <w:spacing w:lineRule="auto"/>
      </w:pPr>
      <w:r>
        <w:rPr/>
        <w:t xml:space="preserve">Ce que vous devez comprendre</w:t>
      </w:r>
    </w:p>
    <w:p>
      <w:pPr>
        <w:spacing w:lineRule="auto"/>
      </w:pPr>
      <w:r>
        <w:rPr/>
        <w:t xml:space="preserve">Réappro et KPI se basent sur le stock </w:t>
      </w:r>
      <w:r>
        <w:rPr>
          <w:b/>
        </w:rPr>
        <w:t xml:space="preserve">après</w:t>
      </w:r>
      <w:r>
        <w:rPr/>
        <w:t xml:space="preserve"> correction.</w:t>
      </w:r>
    </w:p>
    <w:p>
      <w:pPr>
        <w:pStyle w:val="Heading3"/>
        <w:spacing w:lineRule="auto"/>
      </w:pPr>
      <w:r>
        <w:rPr/>
        <w:t xml:space="preserve">Ce que vous devez décider</w:t>
      </w:r>
    </w:p>
    <w:p>
      <w:pPr>
        <w:spacing w:lineRule="auto"/>
      </w:pPr>
      <w:r>
        <w:rPr/>
        <w:t xml:space="preserve">Sur stock corrigé : réappro ou Q = 0 ; suivi éventuel.</w:t>
      </w:r>
    </w:p>
    <w:p>
      <w:pPr>
        <w:pStyle w:val="Heading3"/>
        <w:spacing w:lineRule="auto"/>
      </w:pPr>
      <w:r>
        <w:rPr/>
        <w:t xml:space="preserve">Ce que votre réponse doit démontrer</w:t>
      </w:r>
    </w:p>
    <w:p>
      <w:pPr>
        <w:spacing w:lineRule="auto"/>
      </w:pPr>
      <w:r>
        <w:rPr/>
        <w:t xml:space="preserve">Reconnaissance de l’écart / correction · décision sur stock réconcilié  </w:t>
      </w:r>
    </w:p>
    <w:p>
      <w:pPr>
        <w:spacing w:lineRule="auto"/>
      </w:pPr>
      <w:r>
        <w:rPr/>
        <w:t xml:space="preserve">La prévention est utile mais </w:t>
      </w:r>
      <w:r>
        <w:rPr>
          <w:b/>
        </w:rPr>
        <w:t xml:space="preserve">pas obligatoire</w:t>
      </w:r>
      <w:r>
        <w:rPr/>
        <w:t xml:space="preserve"> sauf si la question le demande.</w:t>
      </w:r>
    </w:p>
    <w:p>
      <w:pPr>
        <w:pStyle w:val="Heading3"/>
        <w:spacing w:lineRule="auto"/>
      </w:pPr>
      <w:r>
        <w:rPr/>
        <w:t xml:space="preserve">Erreurs de raisonnement à éviter</w:t>
      </w:r>
    </w:p>
    <w:p>
      <w:pPr>
        <w:numPr>
          <w:ilvl w:val="0"/>
          <w:numId w:val="10"/>
        </w:numPr>
        <w:spacing w:lineRule="auto"/>
      </w:pPr>
      <w:r>
        <w:rPr/>
        <w:t xml:space="preserve">Décider avant l’ajustement  </w:t>
      </w:r>
    </w:p>
    <w:p>
      <w:pPr>
        <w:numPr>
          <w:ilvl w:val="0"/>
          <w:numId w:val="10"/>
        </w:numPr>
        <w:spacing w:lineRule="auto"/>
      </w:pPr>
      <w:r>
        <w:rPr/>
        <w:t xml:space="preserve">Ignorer l’écart ouvert</w:t>
      </w:r>
    </w:p>
    <w:p>
      <w:pPr>
        <w:pStyle w:val="Heading2"/>
        <w:spacing w:lineRule="auto"/>
      </w:pPr>
      <w:r>
        <w:rPr/>
        <w:t xml:space="preserve">SCN-017 — Décision stratégique (capstone)</w:t>
      </w:r>
    </w:p>
    <w:p>
      <w:pPr>
        <w:spacing w:lineRule="auto"/>
      </w:pPr>
      <w:r>
        <w:rPr>
          <w:b/>
        </w:rPr>
        <w:t xml:space="preserve">Structure :</w:t>
      </w:r>
      <w:r>
        <w:rPr/>
        <w:t xml:space="preserve"> Preuves → Priorité → Compromis → Horizon</w:t>
      </w:r>
      <w:r>
        <w:rPr/>
        <w:br w:type="textWrapping"/>
      </w:r>
      <w:r>
        <w:rPr>
          <w:b/>
        </w:rPr>
        <w:t xml:space="preserve">Longueur recommandée :</w:t>
      </w:r>
      <w:r>
        <w:rPr/>
        <w:t xml:space="preserve"> 4–6 phrases</w:t>
      </w:r>
    </w:p>
    <w:p>
      <w:pPr>
        <w:pStyle w:val="Heading3"/>
        <w:spacing w:lineRule="auto"/>
      </w:pPr>
      <w:r>
        <w:rPr/>
        <w:t xml:space="preserve">Ce que vous observez</w:t>
      </w:r>
    </w:p>
    <w:p>
      <w:pPr>
        <w:spacing w:lineRule="auto"/>
      </w:pPr>
      <w:r>
        <w:rPr/>
        <w:t xml:space="preserve">Snapshot M5_KPI </w:t>
      </w:r>
      <w:r>
        <w:rPr>
          <w:b/>
        </w:rPr>
        <w:t xml:space="preserve">de votre session</w:t>
      </w:r>
      <w:r>
        <w:rPr/>
        <w:t xml:space="preserve"> (pas l’Annexe M4).</w:t>
      </w:r>
    </w:p>
    <w:p>
      <w:pPr>
        <w:pStyle w:val="Heading3"/>
        <w:spacing w:lineRule="auto"/>
      </w:pPr>
      <w:r>
        <w:rPr/>
        <w:t xml:space="preserve">Ce que vous devez comprendre</w:t>
      </w:r>
    </w:p>
    <w:p>
      <w:pPr>
        <w:spacing w:lineRule="auto"/>
      </w:pPr>
      <w:r>
        <w:rPr/>
        <w:t xml:space="preserve">Niveau stratégique : arbitrage durable, pas une transaction ops.</w:t>
      </w:r>
    </w:p>
    <w:p>
      <w:pPr>
        <w:pStyle w:val="Heading3"/>
        <w:spacing w:lineRule="auto"/>
      </w:pPr>
      <w:r>
        <w:rPr/>
        <w:t xml:space="preserve">Ce que vous devez décider</w:t>
      </w:r>
    </w:p>
    <w:p>
      <w:pPr>
        <w:spacing w:lineRule="auto"/>
      </w:pPr>
      <w:r>
        <w:rPr/>
        <w:t xml:space="preserve">Priorité stratégique + compromis + horizon 90–180 j (ou équivalent).</w:t>
      </w:r>
    </w:p>
    <w:p>
      <w:pPr>
        <w:pStyle w:val="Heading3"/>
        <w:spacing w:lineRule="auto"/>
      </w:pPr>
      <w:r>
        <w:rPr/>
        <w:t xml:space="preserve">Ce que votre réponse doit démontrer</w:t>
      </w:r>
    </w:p>
    <w:p>
      <w:pPr>
        <w:numPr>
          <w:ilvl w:val="0"/>
          <w:numId w:val="11"/>
        </w:numPr>
        <w:spacing w:lineRule="auto"/>
      </w:pPr>
      <w:r>
        <w:rPr/>
        <w:t xml:space="preserve">≥ 2 KPI chiffrés du snapshot  </w:t>
      </w:r>
    </w:p>
    <w:p>
      <w:pPr>
        <w:numPr>
          <w:ilvl w:val="0"/>
          <w:numId w:val="11"/>
        </w:numPr>
        <w:spacing w:lineRule="auto"/>
      </w:pPr>
      <w:r>
        <w:rPr/>
        <w:t xml:space="preserve">Une priorité  </w:t>
      </w:r>
    </w:p>
    <w:p>
      <w:pPr>
        <w:numPr>
          <w:ilvl w:val="0"/>
          <w:numId w:val="11"/>
        </w:numPr>
        <w:spacing w:lineRule="auto"/>
      </w:pPr>
      <w:r>
        <w:rPr/>
        <w:t xml:space="preserve">Un compromis (même sans le mot « trade-off »)  </w:t>
      </w:r>
    </w:p>
    <w:p>
      <w:pPr>
        <w:numPr>
          <w:ilvl w:val="0"/>
          <w:numId w:val="11"/>
        </w:numPr>
        <w:spacing w:lineRule="auto"/>
      </w:pPr>
      <w:r>
        <w:rPr/>
        <w:t xml:space="preserve">Un horizon de revue</w:t>
      </w:r>
    </w:p>
    <w:p>
      <w:pPr>
        <w:pStyle w:val="Heading3"/>
        <w:spacing w:lineRule="auto"/>
      </w:pPr>
      <w:r>
        <w:rPr/>
        <w:t xml:space="preserve">Erreurs de raisonnement à éviter</w:t>
      </w:r>
    </w:p>
    <w:p>
      <w:pPr>
        <w:numPr>
          <w:ilvl w:val="0"/>
          <w:numId w:val="12"/>
        </w:numPr>
        <w:spacing w:lineRule="auto"/>
      </w:pPr>
      <w:r>
        <w:rPr/>
        <w:t xml:space="preserve">Recopier 6× / 95 % / 48 000 $ du Module 4  </w:t>
      </w:r>
    </w:p>
    <w:p>
      <w:pPr>
        <w:numPr>
          <w:ilvl w:val="0"/>
          <w:numId w:val="12"/>
        </w:numPr>
        <w:spacing w:lineRule="auto"/>
      </w:pPr>
      <w:r>
        <w:rPr/>
        <w:t xml:space="preserve">Réponse purement opérationnelle (poster réception, putaway…)  </w:t>
      </w:r>
    </w:p>
    <w:p>
      <w:pPr>
        <w:numPr>
          <w:ilvl w:val="0"/>
          <w:numId w:val="12"/>
        </w:numPr>
        <w:spacing w:lineRule="auto"/>
      </w:pPr>
      <w:r>
        <w:rPr/>
        <w:t xml:space="preserve">Pas de compromis / pas d’horizon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Tableau récapitulatif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Niveau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Idée centrale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Longueur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Classer rotation + maintenir + suivre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2–3 phrases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OTIF vs erreurs + action qualité + SLA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2–4 phrases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Capstone M4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 + compromis + horizon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3–5 phrases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Tactique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Cycle nominal · Q = 0 possible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2–3 phrases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Tactique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Réconcilier puis décider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2–4 phrases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Stratégique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Preuves session → priorité → compromis → horizon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4–6 phrases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Préparation aux évaluations de consolidation</w:t>
      </w:r>
    </w:p>
    <w:p>
      <w:pPr>
        <w:spacing w:lineRule="auto"/>
      </w:pPr>
      <w:r>
        <w:rPr/>
        <w:t xml:space="preserve">Sans décrire le calendrier ni le nombre de tentatives (fonctions à venir) :</w:t>
      </w:r>
    </w:p>
    <w:p>
      <w:pPr>
        <w:spacing w:lineRule="auto"/>
      </w:pPr>
      <w:r>
        <w:rPr>
          <w:b/>
        </w:rPr>
        <w:t xml:space="preserve">Évaluation de consolidation M1–M3</w:t>
      </w:r>
      <w:r>
        <w:rPr/>
        <w:br w:type="textWrapping"/>
      </w:r>
      <w:r>
        <w:rPr/>
        <w:t xml:space="preserve">Compréhension des processus et séquences (POSTED/PENDING, putaway, capacité, FIFO, inventaire, ADJ, Min/Max, réappro).</w:t>
      </w:r>
    </w:p>
    <w:p>
      <w:pPr>
        <w:spacing w:lineRule="auto"/>
      </w:pPr>
      <w:r>
        <w:rPr>
          <w:b/>
        </w:rPr>
        <w:t xml:space="preserve">Évaluation de consolidation M4–M5</w:t>
      </w:r>
      <w:r>
        <w:rPr/>
        <w:br w:type="textWrapping"/>
      </w:r>
      <w:r>
        <w:rPr/>
        <w:t xml:space="preserve">Interprétation KPI, distinction tactique / stratégique, snapshot de session, compromis — </w:t>
      </w:r>
      <w:r>
        <w:rPr>
          <w:b/>
        </w:rPr>
        <w:t xml:space="preserve">avec vos propres mots</w:t>
      </w:r>
      <w:r>
        <w:rPr/>
        <w:t xml:space="preserve">.</w:t>
      </w:r>
    </w:p>
    <w:p>
      <w:pPr>
        <w:spacing w:lineRule="auto"/>
      </w:pPr>
      <w:r>
        <w:rPr/>
        <w:t xml:space="preserve">L’évaluation valorise la </w:t>
      </w:r>
      <w:r>
        <w:rPr>
          <w:b/>
        </w:rPr>
        <w:t xml:space="preserve">compréhension</w:t>
      </w:r>
      <w:r>
        <w:rPr/>
        <w:t xml:space="preserve">, pas les phrases mémorisées.</w:t>
      </w:r>
    </w:p>
    <w:p>
      <w:pPr>
        <w:pStyle w:val="Heading2"/>
        <w:spacing w:lineRule="auto"/>
      </w:pPr>
      <w:r>
        <w:rPr/>
        <w:t xml:space="preserve">Checklist finale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Point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J’ai </w:t>
            </w:r>
          </w:p>
          <w:p>
            <w:pPr>
              <w:spacing w:lineRule="auto"/>
            </w:pPr>
            <w:r>
              <w:rPr>
                <w:b/>
              </w:rPr>
              <w:t xml:space="preserve">observé</w:t>
            </w:r>
          </w:p>
          <w:p>
            <w:pPr>
              <w:spacing w:lineRule="auto"/>
            </w:pPr>
            <w:r>
              <w:rPr/>
              <w:t xml:space="preserve"> les données / preuves du scénario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J’ai </w:t>
            </w:r>
          </w:p>
          <w:p>
            <w:pPr>
              <w:spacing w:lineRule="auto"/>
            </w:pPr>
            <w:r>
              <w:rPr>
                <w:b/>
              </w:rPr>
              <w:t xml:space="preserve">classifié</w:t>
            </w:r>
          </w:p>
          <w:p>
            <w:pPr>
              <w:spacing w:lineRule="auto"/>
            </w:pPr>
            <w:r>
              <w:rPr/>
              <w:t xml:space="preserve"> sans recopier une réponse modèle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 décision est cohérente (y compris Q = 0 si pertinent)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J’ai un </w:t>
            </w:r>
          </w:p>
          <w:p>
            <w:pPr>
              <w:spacing w:lineRule="auto"/>
            </w:pPr>
            <w:r>
              <w:rPr>
                <w:b/>
              </w:rPr>
              <w:t xml:space="preserve">suivi</w:t>
            </w:r>
          </w:p>
          <w:p>
            <w:pPr>
              <w:spacing w:lineRule="auto"/>
            </w:pPr>
            <w:r>
              <w:rPr/>
              <w:t xml:space="preserve"> ou un </w:t>
            </w:r>
          </w:p>
          <w:p>
            <w:pPr>
              <w:spacing w:lineRule="auto"/>
            </w:pPr>
            <w:r>
              <w:rPr>
                <w:b/>
              </w:rPr>
              <w:t xml:space="preserve">horizon</w:t>
            </w:r>
          </w:p>
          <w:p>
            <w:pPr>
              <w:spacing w:lineRule="auto"/>
            </w:pPr>
            <w:r>
              <w:rPr/>
              <w:t xml:space="preserve"> si attendu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M5, j’utilise les KPI de </w:t>
            </w:r>
          </w:p>
          <w:p>
            <w:pPr>
              <w:spacing w:lineRule="auto"/>
            </w:pPr>
            <w:r>
              <w:rPr>
                <w:b/>
              </w:rPr>
              <w:t xml:space="preserve">ma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J’ai rédigé </w:t>
            </w:r>
          </w:p>
          <w:p>
            <w:pPr>
              <w:spacing w:lineRule="auto"/>
            </w:pPr>
            <w:r>
              <w:rPr>
                <w:b/>
              </w:rPr>
              <w:t xml:space="preserve">avec mes propres mots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Question finale</w:t>
      </w:r>
    </w:p>
    <w:p>
      <w:pPr>
        <w:spacing w:lineRule="auto"/>
      </w:pPr>
      <w:r>
        <w:rPr/>
        <w:t xml:space="preserve">« Mon raisonnement montre-t-il ce que j’observe, ce que je classe, ce que je décide et ce que je suis — en phrases claires et personnelles ? »</w:t>
      </w:r>
    </w:p>
    <w:p>
      <w:pPr>
        <w:spacing w:lineRule="auto"/>
      </w:pPr>
      <w:r>
        <w:rPr/>
        <w:t xml:space="preserve">Collège de la Concorde · TEC.WMS · Simulateur pédagogique ERP/WMS · juillet 2026 · Guidance pédagogique uniquement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pr%C3%A9sentation-du-guide" TargetMode="External"/>
  <Relationship Id="rId7" Type="http://schemas.openxmlformats.org/officeDocument/2006/relationships/hyperlink" Target="#r%C3%A9f%C3%A9rence-commune--bandes-kpi" TargetMode="External"/>
  <Relationship Id="rId8" Type="http://schemas.openxmlformats.org/officeDocument/2006/relationships/hyperlink" Target="#deux-paradigmes-%C3%A0-distinguer" TargetMode="External"/>
  <Relationship Id="rId9" Type="http://schemas.openxmlformats.org/officeDocument/2006/relationships/hyperlink" Target="#module-4--tour-de-contr%C3%B4le-kpi" TargetMode="External"/>
  <Relationship Id="rId10" Type="http://schemas.openxmlformats.org/officeDocument/2006/relationships/hyperlink" Target="#module-5--simulation-int%C3%A9gr%C3%A9e" TargetMode="External"/>
  <Relationship Id="rId11" Type="http://schemas.openxmlformats.org/officeDocument/2006/relationships/hyperlink" Target="#tableau-r%C3%A9capitulatif" TargetMode="External"/>
  <Relationship Id="rId12" Type="http://schemas.openxmlformats.org/officeDocument/2006/relationships/hyperlink" Target="#pr%C3%A9paration-aux-%C3%A9valuations-de-consolidation" TargetMode="External"/>
  <Relationship Id="rId13" Type="http://schemas.openxmlformats.org/officeDocument/2006/relationships/hyperlink" Target="#checklist-finale" TargetMode="External"/>
  <Relationship Id="rId14" Type="http://schemas.openxmlformats.org/officeDocument/2006/relationships/footer" Target="footer1.xml" TargetMode="Internal"/>
  <Relationship Id="rId1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2026-07-17T21:37:02.222Z</dcterms:created>
  <dcterms:modified xsi:type="dcterms:W3CDTF">2026-07-17T21:37:02.222Z</dcterms:modified>
</cp:coreProperties>
</file>