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D899D0" w14:textId="2E776350" w:rsidR="00C619EF" w:rsidRPr="00C619EF" w:rsidRDefault="00C619EF" w:rsidP="00C619EF">
      <w:pPr>
        <w:rPr>
          <w:b/>
          <w:bCs/>
        </w:rPr>
      </w:pPr>
      <w:r w:rsidRPr="00C619EF">
        <w:rPr>
          <w:b/>
          <w:bCs/>
        </w:rPr>
        <w:t>Objectives and Scope</w:t>
      </w:r>
    </w:p>
    <w:p w14:paraId="5E9176F5" w14:textId="77777777" w:rsidR="00C619EF" w:rsidRPr="00C619EF" w:rsidRDefault="00C619EF" w:rsidP="00C619EF">
      <w:r w:rsidRPr="00C619EF">
        <w:rPr>
          <w:b/>
          <w:bCs/>
        </w:rPr>
        <w:t>Date: November 12, 2025</w:t>
      </w:r>
    </w:p>
    <w:p w14:paraId="0D8D9044" w14:textId="77777777" w:rsidR="00C619EF" w:rsidRPr="00C619EF" w:rsidRDefault="00C619EF" w:rsidP="00C619EF">
      <w:r w:rsidRPr="00C619EF">
        <w:t xml:space="preserve">The modernization of the United States federal judiciary requires a structured, disciplined, and forward-leaning approach to cloud adoption. The following </w:t>
      </w:r>
      <w:r w:rsidRPr="00C619EF">
        <w:rPr>
          <w:b/>
          <w:bCs/>
        </w:rPr>
        <w:t>Objectives and Scope</w:t>
      </w:r>
      <w:r w:rsidRPr="00C619EF">
        <w:t xml:space="preserve"> define the boundaries, priorities, and technical expectations for the judiciary’s Cloud Transformation Program and the establishment of the Cloud Center of Excellence (</w:t>
      </w:r>
      <w:proofErr w:type="spellStart"/>
      <w:r w:rsidRPr="00C619EF">
        <w:t>CCoE</w:t>
      </w:r>
      <w:proofErr w:type="spellEnd"/>
      <w:r w:rsidRPr="00C619EF">
        <w:t>). These components collectively ensure that cloud modernization is secure, standardized, scalable, and sustainable across more than 300 courts nationwide.</w:t>
      </w:r>
    </w:p>
    <w:p w14:paraId="0AE42C77" w14:textId="77777777" w:rsidR="00C619EF" w:rsidRPr="00C619EF" w:rsidRDefault="00C619EF" w:rsidP="00C619EF">
      <w:r w:rsidRPr="00C619EF">
        <w:pict w14:anchorId="32C2CC16">
          <v:rect id="_x0000_i1085" style="width:0;height:1.5pt" o:hralign="center" o:hrstd="t" o:hr="t" fillcolor="#a0a0a0" stroked="f"/>
        </w:pict>
      </w:r>
    </w:p>
    <w:p w14:paraId="6E8A87B3" w14:textId="3529B387" w:rsidR="00C619EF" w:rsidRPr="00C619EF" w:rsidRDefault="00C619EF" w:rsidP="00C619EF">
      <w:pPr>
        <w:rPr>
          <w:b/>
          <w:bCs/>
        </w:rPr>
      </w:pPr>
      <w:r w:rsidRPr="00C619EF">
        <w:rPr>
          <w:b/>
          <w:bCs/>
        </w:rPr>
        <w:t xml:space="preserve">I. Objectives </w:t>
      </w:r>
    </w:p>
    <w:p w14:paraId="5384E040" w14:textId="77777777" w:rsidR="00C619EF" w:rsidRPr="00C619EF" w:rsidRDefault="00C619EF" w:rsidP="00C619EF">
      <w:r w:rsidRPr="00C619EF">
        <w:t>The objectives derive from the judiciary’s operational mission, cybersecurity requirements, modernization imperatives, and long-term digital strategy. They guide all programmatic decisions, from governance to cloud engineering to migration execution.</w:t>
      </w:r>
    </w:p>
    <w:p w14:paraId="2B9BEBC4" w14:textId="77777777" w:rsidR="00C619EF" w:rsidRPr="00C619EF" w:rsidRDefault="00C619EF" w:rsidP="00C619EF">
      <w:r w:rsidRPr="00C619EF">
        <w:pict w14:anchorId="761C42F4">
          <v:rect id="_x0000_i1086" style="width:0;height:1.5pt" o:hralign="center" o:hrstd="t" o:hr="t" fillcolor="#a0a0a0" stroked="f"/>
        </w:pict>
      </w:r>
    </w:p>
    <w:p w14:paraId="17B082FD" w14:textId="77777777" w:rsidR="00C619EF" w:rsidRPr="00C619EF" w:rsidRDefault="00C619EF" w:rsidP="00C619EF">
      <w:pPr>
        <w:rPr>
          <w:b/>
          <w:bCs/>
        </w:rPr>
      </w:pPr>
      <w:r w:rsidRPr="00C619EF">
        <w:rPr>
          <w:b/>
          <w:bCs/>
        </w:rPr>
        <w:t>1. Deliver a Sustainable Cloud Center of Excellence (</w:t>
      </w:r>
      <w:proofErr w:type="spellStart"/>
      <w:r w:rsidRPr="00C619EF">
        <w:rPr>
          <w:b/>
          <w:bCs/>
        </w:rPr>
        <w:t>CCoE</w:t>
      </w:r>
      <w:proofErr w:type="spellEnd"/>
      <w:r w:rsidRPr="00C619EF">
        <w:rPr>
          <w:b/>
          <w:bCs/>
        </w:rPr>
        <w:t>)</w:t>
      </w:r>
    </w:p>
    <w:p w14:paraId="699DF402" w14:textId="77777777" w:rsidR="00C619EF" w:rsidRPr="00C619EF" w:rsidRDefault="00C619EF" w:rsidP="00C619EF">
      <w:r w:rsidRPr="00C619EF">
        <w:t>03_Objectives_and_Scope</w:t>
      </w:r>
    </w:p>
    <w:p w14:paraId="6BA6D13B" w14:textId="77777777" w:rsidR="00C619EF" w:rsidRPr="00C619EF" w:rsidRDefault="00C619EF" w:rsidP="00C619EF">
      <w:r w:rsidRPr="00C619EF">
        <w:br/>
        <w:t xml:space="preserve">The judiciary will establish a </w:t>
      </w:r>
      <w:r w:rsidRPr="00C619EF">
        <w:rPr>
          <w:b/>
          <w:bCs/>
        </w:rPr>
        <w:t xml:space="preserve">permanent, institutionalized </w:t>
      </w:r>
      <w:proofErr w:type="spellStart"/>
      <w:r w:rsidRPr="00C619EF">
        <w:rPr>
          <w:b/>
          <w:bCs/>
        </w:rPr>
        <w:t>CCoE</w:t>
      </w:r>
      <w:proofErr w:type="spellEnd"/>
      <w:r w:rsidRPr="00C619EF">
        <w:t xml:space="preserve"> that becomes the authoritative body for all cloud strategy, governance, architecture, platform engineering, and enablement activities across the federal courts.</w:t>
      </w:r>
    </w:p>
    <w:p w14:paraId="79B5C2D6" w14:textId="77777777" w:rsidR="00C619EF" w:rsidRPr="00C619EF" w:rsidRDefault="00C619EF" w:rsidP="00C619EF">
      <w:pPr>
        <w:rPr>
          <w:b/>
          <w:bCs/>
        </w:rPr>
      </w:pPr>
      <w:r w:rsidRPr="00C619EF">
        <w:rPr>
          <w:b/>
          <w:bCs/>
        </w:rPr>
        <w:t xml:space="preserve">Expanded </w:t>
      </w:r>
      <w:proofErr w:type="spellStart"/>
      <w:r w:rsidRPr="00C619EF">
        <w:rPr>
          <w:b/>
          <w:bCs/>
        </w:rPr>
        <w:t>CCoE</w:t>
      </w:r>
      <w:proofErr w:type="spellEnd"/>
      <w:r w:rsidRPr="00C619EF">
        <w:rPr>
          <w:b/>
          <w:bCs/>
        </w:rPr>
        <w:t xml:space="preserve"> Goals and Capabilities</w:t>
      </w:r>
    </w:p>
    <w:p w14:paraId="4D007611" w14:textId="77777777" w:rsidR="00C619EF" w:rsidRPr="00C619EF" w:rsidRDefault="00C619EF" w:rsidP="00C619EF">
      <w:pPr>
        <w:numPr>
          <w:ilvl w:val="0"/>
          <w:numId w:val="10"/>
        </w:numPr>
      </w:pPr>
      <w:r w:rsidRPr="00C619EF">
        <w:rPr>
          <w:b/>
          <w:bCs/>
        </w:rPr>
        <w:t>Governance &amp; Compliance:</w:t>
      </w:r>
    </w:p>
    <w:p w14:paraId="25BE3A6D" w14:textId="77777777" w:rsidR="00C619EF" w:rsidRPr="00C619EF" w:rsidRDefault="00C619EF" w:rsidP="00C619EF">
      <w:pPr>
        <w:numPr>
          <w:ilvl w:val="1"/>
          <w:numId w:val="10"/>
        </w:numPr>
      </w:pPr>
      <w:r w:rsidRPr="00C619EF">
        <w:t>Author and maintain enterprise-level cloud governance frameworks</w:t>
      </w:r>
    </w:p>
    <w:p w14:paraId="0DD42FAF" w14:textId="77777777" w:rsidR="00C619EF" w:rsidRPr="00C619EF" w:rsidRDefault="00C619EF" w:rsidP="00C619EF">
      <w:pPr>
        <w:numPr>
          <w:ilvl w:val="1"/>
          <w:numId w:val="10"/>
        </w:numPr>
      </w:pPr>
      <w:r w:rsidRPr="00C619EF">
        <w:t>Define architectural guardrails, best practices, and security policies</w:t>
      </w:r>
    </w:p>
    <w:p w14:paraId="2035F603" w14:textId="77777777" w:rsidR="00C619EF" w:rsidRPr="00C619EF" w:rsidRDefault="00C619EF" w:rsidP="00C619EF">
      <w:pPr>
        <w:numPr>
          <w:ilvl w:val="1"/>
          <w:numId w:val="10"/>
        </w:numPr>
      </w:pPr>
      <w:r w:rsidRPr="00C619EF">
        <w:t>Operate with formal review boards (e.g., ARB, CCB) to ensure consistency</w:t>
      </w:r>
    </w:p>
    <w:p w14:paraId="512B95B9" w14:textId="77777777" w:rsidR="00C619EF" w:rsidRPr="00C619EF" w:rsidRDefault="00C619EF" w:rsidP="00C619EF">
      <w:pPr>
        <w:numPr>
          <w:ilvl w:val="0"/>
          <w:numId w:val="10"/>
        </w:numPr>
      </w:pPr>
      <w:r w:rsidRPr="00C619EF">
        <w:rPr>
          <w:b/>
          <w:bCs/>
        </w:rPr>
        <w:t>Policy-as-Code Automation:</w:t>
      </w:r>
    </w:p>
    <w:p w14:paraId="101BC2BC" w14:textId="77777777" w:rsidR="00C619EF" w:rsidRPr="00C619EF" w:rsidRDefault="00C619EF" w:rsidP="00C619EF">
      <w:pPr>
        <w:numPr>
          <w:ilvl w:val="1"/>
          <w:numId w:val="10"/>
        </w:numPr>
      </w:pPr>
      <w:r w:rsidRPr="00C619EF">
        <w:t>Implement automated security, compliance, and configuration controls</w:t>
      </w:r>
    </w:p>
    <w:p w14:paraId="140A68B0" w14:textId="77777777" w:rsidR="00C619EF" w:rsidRPr="00C619EF" w:rsidRDefault="00C619EF" w:rsidP="00C619EF">
      <w:pPr>
        <w:numPr>
          <w:ilvl w:val="1"/>
          <w:numId w:val="10"/>
        </w:numPr>
      </w:pPr>
      <w:r w:rsidRPr="00C619EF">
        <w:t>Continuously monitor and enforce standards across all cloud environments</w:t>
      </w:r>
    </w:p>
    <w:p w14:paraId="6E5ED8DD" w14:textId="77777777" w:rsidR="00C619EF" w:rsidRPr="00C619EF" w:rsidRDefault="00C619EF" w:rsidP="00C619EF">
      <w:pPr>
        <w:numPr>
          <w:ilvl w:val="0"/>
          <w:numId w:val="10"/>
        </w:numPr>
      </w:pPr>
      <w:r w:rsidRPr="00C619EF">
        <w:rPr>
          <w:b/>
          <w:bCs/>
        </w:rPr>
        <w:t>Standardized Delivery Patterns:</w:t>
      </w:r>
    </w:p>
    <w:p w14:paraId="47B28794" w14:textId="77777777" w:rsidR="00C619EF" w:rsidRPr="00C619EF" w:rsidRDefault="00C619EF" w:rsidP="00C619EF">
      <w:pPr>
        <w:numPr>
          <w:ilvl w:val="1"/>
          <w:numId w:val="10"/>
        </w:numPr>
      </w:pPr>
      <w:r w:rsidRPr="00C619EF">
        <w:t>Provide reusable landing zones, infrastructure templates, CI/CD pipelines, and cloud-native service patterns</w:t>
      </w:r>
    </w:p>
    <w:p w14:paraId="270804D2" w14:textId="77777777" w:rsidR="00C619EF" w:rsidRPr="00C619EF" w:rsidRDefault="00C619EF" w:rsidP="00C619EF">
      <w:pPr>
        <w:numPr>
          <w:ilvl w:val="1"/>
          <w:numId w:val="10"/>
        </w:numPr>
      </w:pPr>
      <w:r w:rsidRPr="00C619EF">
        <w:lastRenderedPageBreak/>
        <w:t>Reduce time-to-deploy and eliminate engineering inconsistencies across 300+ courts</w:t>
      </w:r>
    </w:p>
    <w:p w14:paraId="79ADADC6" w14:textId="77777777" w:rsidR="00C619EF" w:rsidRPr="00C619EF" w:rsidRDefault="00C619EF" w:rsidP="00C619EF">
      <w:pPr>
        <w:numPr>
          <w:ilvl w:val="0"/>
          <w:numId w:val="10"/>
        </w:numPr>
      </w:pPr>
      <w:r w:rsidRPr="00C619EF">
        <w:rPr>
          <w:b/>
          <w:bCs/>
        </w:rPr>
        <w:t>Enablement &amp; Workforce Development:</w:t>
      </w:r>
    </w:p>
    <w:p w14:paraId="16F07BB2" w14:textId="77777777" w:rsidR="00C619EF" w:rsidRPr="00C619EF" w:rsidRDefault="00C619EF" w:rsidP="00C619EF">
      <w:pPr>
        <w:numPr>
          <w:ilvl w:val="1"/>
          <w:numId w:val="10"/>
        </w:numPr>
      </w:pPr>
      <w:r w:rsidRPr="00C619EF">
        <w:t>Train judiciary staff in cloud engineering, operations, security, and migration practices</w:t>
      </w:r>
    </w:p>
    <w:p w14:paraId="22C60B65" w14:textId="77777777" w:rsidR="00C619EF" w:rsidRPr="00C619EF" w:rsidRDefault="00C619EF" w:rsidP="00C619EF">
      <w:pPr>
        <w:numPr>
          <w:ilvl w:val="1"/>
          <w:numId w:val="10"/>
        </w:numPr>
      </w:pPr>
      <w:r w:rsidRPr="00C619EF">
        <w:t>Establish certification pathways, role-based training, and modernization workshops</w:t>
      </w:r>
    </w:p>
    <w:p w14:paraId="22AFF038" w14:textId="77777777" w:rsidR="00C619EF" w:rsidRPr="00C619EF" w:rsidRDefault="00C619EF" w:rsidP="00C619EF">
      <w:pPr>
        <w:numPr>
          <w:ilvl w:val="0"/>
          <w:numId w:val="10"/>
        </w:numPr>
      </w:pPr>
      <w:r w:rsidRPr="00C619EF">
        <w:rPr>
          <w:b/>
          <w:bCs/>
        </w:rPr>
        <w:t>Sustainability &amp; Lifecycle Management:</w:t>
      </w:r>
    </w:p>
    <w:p w14:paraId="529F559B" w14:textId="77777777" w:rsidR="00C619EF" w:rsidRPr="00C619EF" w:rsidRDefault="00C619EF" w:rsidP="00C619EF">
      <w:pPr>
        <w:numPr>
          <w:ilvl w:val="1"/>
          <w:numId w:val="10"/>
        </w:numPr>
      </w:pPr>
      <w:r w:rsidRPr="00C619EF">
        <w:t>Ensure architectural consistency and modernization continuity</w:t>
      </w:r>
    </w:p>
    <w:p w14:paraId="45A3FD2A" w14:textId="77777777" w:rsidR="00C619EF" w:rsidRPr="00C619EF" w:rsidRDefault="00C619EF" w:rsidP="00C619EF">
      <w:pPr>
        <w:numPr>
          <w:ilvl w:val="1"/>
          <w:numId w:val="10"/>
        </w:numPr>
      </w:pPr>
      <w:r w:rsidRPr="00C619EF">
        <w:t>Maintain an evergreen roadmap aligned with evolving federal mandates and technologies</w:t>
      </w:r>
    </w:p>
    <w:p w14:paraId="3F3416A4" w14:textId="77777777" w:rsidR="00C619EF" w:rsidRPr="00C619EF" w:rsidRDefault="00C619EF" w:rsidP="00C619EF">
      <w:r w:rsidRPr="00C619EF">
        <w:t xml:space="preserve">This objective ensures the judiciary does not simply “adopt cloud,” but instead </w:t>
      </w:r>
      <w:r w:rsidRPr="00C619EF">
        <w:rPr>
          <w:b/>
          <w:bCs/>
        </w:rPr>
        <w:t>builds permanent cloud capability</w:t>
      </w:r>
      <w:r w:rsidRPr="00C619EF">
        <w:t>.</w:t>
      </w:r>
    </w:p>
    <w:p w14:paraId="4C555803" w14:textId="77777777" w:rsidR="00C619EF" w:rsidRPr="00C619EF" w:rsidRDefault="00C619EF" w:rsidP="00C619EF">
      <w:r w:rsidRPr="00C619EF">
        <w:pict w14:anchorId="3541781D">
          <v:rect id="_x0000_i1087" style="width:0;height:1.5pt" o:hralign="center" o:hrstd="t" o:hr="t" fillcolor="#a0a0a0" stroked="f"/>
        </w:pict>
      </w:r>
    </w:p>
    <w:p w14:paraId="011E3B0B" w14:textId="77777777" w:rsidR="00C619EF" w:rsidRPr="00C619EF" w:rsidRDefault="00C619EF" w:rsidP="00C619EF">
      <w:pPr>
        <w:rPr>
          <w:b/>
          <w:bCs/>
        </w:rPr>
      </w:pPr>
      <w:r w:rsidRPr="00C619EF">
        <w:rPr>
          <w:b/>
          <w:bCs/>
        </w:rPr>
        <w:t>2. Modernize with Minimal Disruption, Reduced Risk, and Faster Time-to-Value</w:t>
      </w:r>
    </w:p>
    <w:p w14:paraId="7FCBC133" w14:textId="77777777" w:rsidR="00C619EF" w:rsidRPr="00C619EF" w:rsidRDefault="00C619EF" w:rsidP="00C619EF">
      <w:r w:rsidRPr="00C619EF">
        <w:t>03_Objectives_and_Scope</w:t>
      </w:r>
    </w:p>
    <w:p w14:paraId="46BFC82D" w14:textId="77777777" w:rsidR="00C619EF" w:rsidRPr="00C619EF" w:rsidRDefault="00C619EF" w:rsidP="00C619EF">
      <w:pPr>
        <w:rPr>
          <w:b/>
          <w:bCs/>
        </w:rPr>
      </w:pPr>
      <w:r w:rsidRPr="00C619EF">
        <w:rPr>
          <w:b/>
          <w:bCs/>
        </w:rPr>
        <w:t>Expanded Modernization Imperatives</w:t>
      </w:r>
    </w:p>
    <w:p w14:paraId="466F3519" w14:textId="77777777" w:rsidR="00C619EF" w:rsidRPr="00C619EF" w:rsidRDefault="00C619EF" w:rsidP="00C619EF">
      <w:r w:rsidRPr="00C619EF">
        <w:t>Modernization must be executed in a way that:</w:t>
      </w:r>
    </w:p>
    <w:p w14:paraId="3354D640" w14:textId="77777777" w:rsidR="00C619EF" w:rsidRPr="00C619EF" w:rsidRDefault="00C619EF" w:rsidP="00C619EF">
      <w:pPr>
        <w:numPr>
          <w:ilvl w:val="0"/>
          <w:numId w:val="11"/>
        </w:numPr>
      </w:pPr>
      <w:r w:rsidRPr="00C619EF">
        <w:rPr>
          <w:b/>
          <w:bCs/>
        </w:rPr>
        <w:t>Preserves court operations:</w:t>
      </w:r>
      <w:r w:rsidRPr="00C619EF">
        <w:br/>
        <w:t>Judicial functions must remain uninterrupted. Migrations will be staged, reversible, validated, and meticulously planned.</w:t>
      </w:r>
    </w:p>
    <w:p w14:paraId="58AC2ABE" w14:textId="77777777" w:rsidR="00C619EF" w:rsidRPr="00C619EF" w:rsidRDefault="00C619EF" w:rsidP="00C619EF">
      <w:pPr>
        <w:numPr>
          <w:ilvl w:val="0"/>
          <w:numId w:val="11"/>
        </w:numPr>
      </w:pPr>
      <w:r w:rsidRPr="00C619EF">
        <w:rPr>
          <w:b/>
          <w:bCs/>
        </w:rPr>
        <w:t>Reduces risk through standardization:</w:t>
      </w:r>
      <w:r w:rsidRPr="00C619EF">
        <w:br/>
        <w:t>By using factory-style migration patterns, mature landing zones, and automation, the judiciary minimizes variability and security exposure.</w:t>
      </w:r>
    </w:p>
    <w:p w14:paraId="5FF09E87" w14:textId="77777777" w:rsidR="00C619EF" w:rsidRPr="00C619EF" w:rsidRDefault="00C619EF" w:rsidP="00C619EF">
      <w:pPr>
        <w:numPr>
          <w:ilvl w:val="0"/>
          <w:numId w:val="11"/>
        </w:numPr>
      </w:pPr>
      <w:r w:rsidRPr="00C619EF">
        <w:rPr>
          <w:b/>
          <w:bCs/>
        </w:rPr>
        <w:t>Accelerates measurable value:</w:t>
      </w:r>
      <w:r w:rsidRPr="00C619EF">
        <w:br/>
        <w:t>Courts gain immediate benefits—improved performance, security, and reliability—with each wave.</w:t>
      </w:r>
    </w:p>
    <w:p w14:paraId="2CFE8347" w14:textId="77777777" w:rsidR="00C619EF" w:rsidRPr="00C619EF" w:rsidRDefault="00C619EF" w:rsidP="00C619EF">
      <w:pPr>
        <w:numPr>
          <w:ilvl w:val="0"/>
          <w:numId w:val="11"/>
        </w:numPr>
      </w:pPr>
      <w:r w:rsidRPr="00C619EF">
        <w:rPr>
          <w:b/>
          <w:bCs/>
        </w:rPr>
        <w:t>Enhances cost governance and transparency:</w:t>
      </w:r>
    </w:p>
    <w:p w14:paraId="3AFEF34A" w14:textId="77777777" w:rsidR="00C619EF" w:rsidRPr="00C619EF" w:rsidRDefault="00C619EF" w:rsidP="00C619EF">
      <w:pPr>
        <w:numPr>
          <w:ilvl w:val="1"/>
          <w:numId w:val="11"/>
        </w:numPr>
      </w:pPr>
      <w:r w:rsidRPr="00C619EF">
        <w:t>Implement FinOps to track, forecast, and optimize cloud spend across all courts</w:t>
      </w:r>
    </w:p>
    <w:p w14:paraId="61C83612" w14:textId="77777777" w:rsidR="00C619EF" w:rsidRPr="00C619EF" w:rsidRDefault="00C619EF" w:rsidP="00C619EF">
      <w:pPr>
        <w:numPr>
          <w:ilvl w:val="1"/>
          <w:numId w:val="11"/>
        </w:numPr>
      </w:pPr>
      <w:r w:rsidRPr="00C619EF">
        <w:t>Standardized tagging, consumption dashboards, and budget controls</w:t>
      </w:r>
    </w:p>
    <w:p w14:paraId="58CF48B9" w14:textId="77777777" w:rsidR="00C619EF" w:rsidRPr="00C619EF" w:rsidRDefault="00C619EF" w:rsidP="00C619EF">
      <w:pPr>
        <w:numPr>
          <w:ilvl w:val="1"/>
          <w:numId w:val="11"/>
        </w:numPr>
      </w:pPr>
      <w:r w:rsidRPr="00C619EF">
        <w:lastRenderedPageBreak/>
        <w:t>Align infrastructure cost models with real workload demand (OPEX over CAPEX)</w:t>
      </w:r>
    </w:p>
    <w:p w14:paraId="2325C889" w14:textId="77777777" w:rsidR="00C619EF" w:rsidRPr="00C619EF" w:rsidRDefault="00C619EF" w:rsidP="00C619EF">
      <w:pPr>
        <w:numPr>
          <w:ilvl w:val="0"/>
          <w:numId w:val="11"/>
        </w:numPr>
      </w:pPr>
      <w:r w:rsidRPr="00C619EF">
        <w:rPr>
          <w:b/>
          <w:bCs/>
        </w:rPr>
        <w:t>Balances modernization tracks:</w:t>
      </w:r>
      <w:r w:rsidRPr="00C619EF">
        <w:br/>
        <w:t xml:space="preserve">Rehost, </w:t>
      </w:r>
      <w:proofErr w:type="spellStart"/>
      <w:r w:rsidRPr="00C619EF">
        <w:t>replatform</w:t>
      </w:r>
      <w:proofErr w:type="spellEnd"/>
      <w:r w:rsidRPr="00C619EF">
        <w:t xml:space="preserve">, refactor, containerize, retire, consolidate, or re-envision workloads with an optimal modernization strategy using the </w:t>
      </w:r>
      <w:r w:rsidRPr="00C619EF">
        <w:rPr>
          <w:b/>
          <w:bCs/>
        </w:rPr>
        <w:t>7R methodology</w:t>
      </w:r>
      <w:r w:rsidRPr="00C619EF">
        <w:t>.</w:t>
      </w:r>
    </w:p>
    <w:p w14:paraId="7B8AF5C0" w14:textId="77777777" w:rsidR="00C619EF" w:rsidRPr="00C619EF" w:rsidRDefault="00C619EF" w:rsidP="00C619EF">
      <w:r w:rsidRPr="00C619EF">
        <w:t xml:space="preserve">This objective ensures modernization is </w:t>
      </w:r>
      <w:r w:rsidRPr="00C619EF">
        <w:rPr>
          <w:b/>
          <w:bCs/>
        </w:rPr>
        <w:t>disciplined, predictable, low-risk, and value-driven</w:t>
      </w:r>
      <w:r w:rsidRPr="00C619EF">
        <w:t>.</w:t>
      </w:r>
    </w:p>
    <w:p w14:paraId="1D02B99E" w14:textId="77777777" w:rsidR="00C619EF" w:rsidRPr="00C619EF" w:rsidRDefault="00C619EF" w:rsidP="00C619EF">
      <w:r w:rsidRPr="00C619EF">
        <w:pict w14:anchorId="2BA9B28C">
          <v:rect id="_x0000_i1088" style="width:0;height:1.5pt" o:hralign="center" o:hrstd="t" o:hr="t" fillcolor="#a0a0a0" stroked="f"/>
        </w:pict>
      </w:r>
    </w:p>
    <w:p w14:paraId="0C97A769" w14:textId="77777777" w:rsidR="00C619EF" w:rsidRPr="00C619EF" w:rsidRDefault="00C619EF" w:rsidP="00C619EF">
      <w:pPr>
        <w:rPr>
          <w:b/>
          <w:bCs/>
        </w:rPr>
      </w:pPr>
      <w:r w:rsidRPr="00C619EF">
        <w:rPr>
          <w:b/>
          <w:bCs/>
        </w:rPr>
        <w:t>3. Align Security to NIST SP 800-53 Rev. 5 and FedRAMP Moderate, With Path to High-Equivalent</w:t>
      </w:r>
    </w:p>
    <w:p w14:paraId="30FE25C9" w14:textId="77777777" w:rsidR="00C619EF" w:rsidRPr="00C619EF" w:rsidRDefault="00C619EF" w:rsidP="00C619EF">
      <w:r w:rsidRPr="00C619EF">
        <w:t>03_Objectives_and_Scope</w:t>
      </w:r>
    </w:p>
    <w:p w14:paraId="20FC642B" w14:textId="77777777" w:rsidR="00C619EF" w:rsidRPr="00C619EF" w:rsidRDefault="00C619EF" w:rsidP="00C619EF">
      <w:pPr>
        <w:rPr>
          <w:b/>
          <w:bCs/>
        </w:rPr>
      </w:pPr>
      <w:r w:rsidRPr="00C619EF">
        <w:rPr>
          <w:b/>
          <w:bCs/>
        </w:rPr>
        <w:t>Expanded Security Alignment Requirements</w:t>
      </w:r>
    </w:p>
    <w:p w14:paraId="0D9B786D" w14:textId="77777777" w:rsidR="00C619EF" w:rsidRPr="00C619EF" w:rsidRDefault="00C619EF" w:rsidP="00C619EF">
      <w:r w:rsidRPr="00C619EF">
        <w:t>Security alignment covers:</w:t>
      </w:r>
    </w:p>
    <w:p w14:paraId="2067A6EC" w14:textId="77777777" w:rsidR="00C619EF" w:rsidRPr="00C619EF" w:rsidRDefault="00C619EF" w:rsidP="00C619EF">
      <w:pPr>
        <w:numPr>
          <w:ilvl w:val="0"/>
          <w:numId w:val="12"/>
        </w:numPr>
      </w:pPr>
      <w:r w:rsidRPr="00C619EF">
        <w:rPr>
          <w:b/>
          <w:bCs/>
        </w:rPr>
        <w:t>Adoption of NIST SP 800-53 Rev. 5 Controls:</w:t>
      </w:r>
      <w:r w:rsidRPr="00C619EF">
        <w:br/>
        <w:t>Including updates for Supply Chain Risk Management (SR), enhanced Access Control (AC), continuous monitoring (CA), and modern defensive practices.</w:t>
      </w:r>
    </w:p>
    <w:p w14:paraId="437B5D7D" w14:textId="77777777" w:rsidR="00C619EF" w:rsidRPr="00C619EF" w:rsidRDefault="00C619EF" w:rsidP="00C619EF">
      <w:pPr>
        <w:numPr>
          <w:ilvl w:val="0"/>
          <w:numId w:val="12"/>
        </w:numPr>
      </w:pPr>
      <w:r w:rsidRPr="00C619EF">
        <w:rPr>
          <w:b/>
          <w:bCs/>
        </w:rPr>
        <w:t>FedRAMP Moderate Baseline:</w:t>
      </w:r>
      <w:r w:rsidRPr="00C619EF">
        <w:br/>
        <w:t>Ensures cloud service providers meet minimum federal security standards, covering more than 300 control requirements.</w:t>
      </w:r>
    </w:p>
    <w:p w14:paraId="6EBE4F43" w14:textId="77777777" w:rsidR="00C619EF" w:rsidRPr="00C619EF" w:rsidRDefault="00C619EF" w:rsidP="00C619EF">
      <w:pPr>
        <w:numPr>
          <w:ilvl w:val="0"/>
          <w:numId w:val="12"/>
        </w:numPr>
      </w:pPr>
      <w:r w:rsidRPr="00C619EF">
        <w:rPr>
          <w:b/>
          <w:bCs/>
        </w:rPr>
        <w:t>Uplift Path to FedRAMP High-Equivalent:</w:t>
      </w:r>
      <w:r w:rsidRPr="00C619EF">
        <w:br/>
        <w:t>For courts processing high-impact data or mission-critical systems, additional protections such as:</w:t>
      </w:r>
    </w:p>
    <w:p w14:paraId="15F3A8CA" w14:textId="77777777" w:rsidR="00C619EF" w:rsidRPr="00C619EF" w:rsidRDefault="00C619EF" w:rsidP="00C619EF">
      <w:pPr>
        <w:numPr>
          <w:ilvl w:val="1"/>
          <w:numId w:val="12"/>
        </w:numPr>
      </w:pPr>
      <w:r w:rsidRPr="00C619EF">
        <w:t>Zero Trust segmentation</w:t>
      </w:r>
    </w:p>
    <w:p w14:paraId="3F9F1324" w14:textId="77777777" w:rsidR="00C619EF" w:rsidRPr="00C619EF" w:rsidRDefault="00C619EF" w:rsidP="00C619EF">
      <w:pPr>
        <w:numPr>
          <w:ilvl w:val="1"/>
          <w:numId w:val="12"/>
        </w:numPr>
      </w:pPr>
      <w:r w:rsidRPr="00C619EF">
        <w:t>Stronger MFA and PIV/CAC integration</w:t>
      </w:r>
    </w:p>
    <w:p w14:paraId="54AE2A0A" w14:textId="77777777" w:rsidR="00C619EF" w:rsidRPr="00C619EF" w:rsidRDefault="00C619EF" w:rsidP="00C619EF">
      <w:pPr>
        <w:numPr>
          <w:ilvl w:val="1"/>
          <w:numId w:val="12"/>
        </w:numPr>
      </w:pPr>
      <w:r w:rsidRPr="00C619EF">
        <w:t>Enhanced encryption and key management</w:t>
      </w:r>
    </w:p>
    <w:p w14:paraId="388F92EE" w14:textId="77777777" w:rsidR="00C619EF" w:rsidRPr="00C619EF" w:rsidRDefault="00C619EF" w:rsidP="00C619EF">
      <w:pPr>
        <w:numPr>
          <w:ilvl w:val="1"/>
          <w:numId w:val="12"/>
        </w:numPr>
      </w:pPr>
      <w:r w:rsidRPr="00C619EF">
        <w:t>Stricter incident response and audit requirements</w:t>
      </w:r>
    </w:p>
    <w:p w14:paraId="7704915E" w14:textId="77777777" w:rsidR="00C619EF" w:rsidRPr="00C619EF" w:rsidRDefault="00C619EF" w:rsidP="00C619EF">
      <w:pPr>
        <w:numPr>
          <w:ilvl w:val="0"/>
          <w:numId w:val="12"/>
        </w:numPr>
      </w:pPr>
      <w:r w:rsidRPr="00C619EF">
        <w:rPr>
          <w:b/>
          <w:bCs/>
        </w:rPr>
        <w:t>Continuous Compliance Automation:</w:t>
      </w:r>
      <w:r w:rsidRPr="00C619EF">
        <w:br/>
        <w:t>Policy-as-code, real-time drift detection, automated remediation, and evidence collection pipelines for ATO.</w:t>
      </w:r>
    </w:p>
    <w:p w14:paraId="0549CC59" w14:textId="77777777" w:rsidR="00C619EF" w:rsidRPr="00C619EF" w:rsidRDefault="00C619EF" w:rsidP="00C619EF">
      <w:r w:rsidRPr="00C619EF">
        <w:t xml:space="preserve">This objective ensures all courts operate on cloud platforms that meet or exceed federal security baselines, with the flexibility to </w:t>
      </w:r>
      <w:r w:rsidRPr="00C619EF">
        <w:rPr>
          <w:b/>
          <w:bCs/>
        </w:rPr>
        <w:t>expand to High-Impact requirements where needed</w:t>
      </w:r>
      <w:r w:rsidRPr="00C619EF">
        <w:t>.</w:t>
      </w:r>
    </w:p>
    <w:p w14:paraId="7B3115EB" w14:textId="77777777" w:rsidR="00C619EF" w:rsidRPr="00C619EF" w:rsidRDefault="00C619EF" w:rsidP="00C619EF">
      <w:r w:rsidRPr="00C619EF">
        <w:pict w14:anchorId="28337FAD">
          <v:rect id="_x0000_i1089" style="width:0;height:1.5pt" o:hralign="center" o:hrstd="t" o:hr="t" fillcolor="#a0a0a0" stroked="f"/>
        </w:pict>
      </w:r>
    </w:p>
    <w:p w14:paraId="2522E34A" w14:textId="1BD9161D" w:rsidR="00C619EF" w:rsidRPr="00C619EF" w:rsidRDefault="00C619EF" w:rsidP="00C619EF">
      <w:pPr>
        <w:rPr>
          <w:b/>
          <w:bCs/>
        </w:rPr>
      </w:pPr>
      <w:r w:rsidRPr="00C619EF">
        <w:rPr>
          <w:b/>
          <w:bCs/>
        </w:rPr>
        <w:t xml:space="preserve">II. Scope </w:t>
      </w:r>
    </w:p>
    <w:p w14:paraId="46765EBB" w14:textId="77777777" w:rsidR="00C619EF" w:rsidRPr="00C619EF" w:rsidRDefault="00C619EF" w:rsidP="00C619EF">
      <w:r w:rsidRPr="00C619EF">
        <w:lastRenderedPageBreak/>
        <w:t>The Scope defines what is included in the transformation effort, and what is intentionally deferred to future sections for deeper elaboration.</w:t>
      </w:r>
    </w:p>
    <w:p w14:paraId="461D0566" w14:textId="77777777" w:rsidR="00C619EF" w:rsidRPr="00C619EF" w:rsidRDefault="00C619EF" w:rsidP="00C619EF">
      <w:r w:rsidRPr="00C619EF">
        <w:pict w14:anchorId="5AB5C904">
          <v:rect id="_x0000_i1090" style="width:0;height:1.5pt" o:hralign="center" o:hrstd="t" o:hr="t" fillcolor="#a0a0a0" stroked="f"/>
        </w:pict>
      </w:r>
    </w:p>
    <w:p w14:paraId="6264EF3F" w14:textId="77777777" w:rsidR="00C619EF" w:rsidRPr="00C619EF" w:rsidRDefault="00C619EF" w:rsidP="00C619EF">
      <w:pPr>
        <w:rPr>
          <w:b/>
          <w:bCs/>
        </w:rPr>
      </w:pPr>
      <w:r w:rsidRPr="00C619EF">
        <w:rPr>
          <w:b/>
          <w:bCs/>
        </w:rPr>
        <w:t>1. Multi-Cloud Architecture Across AWS, Azure, Google Cloud, and Oracle Cloud</w:t>
      </w:r>
    </w:p>
    <w:p w14:paraId="553B31E1" w14:textId="77777777" w:rsidR="00C619EF" w:rsidRPr="00C619EF" w:rsidRDefault="00C619EF" w:rsidP="00C619EF">
      <w:r w:rsidRPr="00C619EF">
        <w:t>03_Objectives_and_Scope</w:t>
      </w:r>
    </w:p>
    <w:p w14:paraId="5AF57774" w14:textId="77777777" w:rsidR="00C619EF" w:rsidRPr="00C619EF" w:rsidRDefault="00C619EF" w:rsidP="00C619EF">
      <w:pPr>
        <w:rPr>
          <w:b/>
          <w:bCs/>
        </w:rPr>
      </w:pPr>
      <w:r w:rsidRPr="00C619EF">
        <w:rPr>
          <w:b/>
          <w:bCs/>
        </w:rPr>
        <w:t>Expanded Architecture Scope</w:t>
      </w:r>
    </w:p>
    <w:p w14:paraId="15F47A81" w14:textId="77777777" w:rsidR="00C619EF" w:rsidRPr="00C619EF" w:rsidRDefault="00C619EF" w:rsidP="00C619EF">
      <w:r w:rsidRPr="00C619EF">
        <w:t>The judiciary will architect and deploy:</w:t>
      </w:r>
    </w:p>
    <w:p w14:paraId="5F0C66C7" w14:textId="77777777" w:rsidR="00C619EF" w:rsidRPr="00C619EF" w:rsidRDefault="00C619EF" w:rsidP="00C619EF">
      <w:pPr>
        <w:numPr>
          <w:ilvl w:val="0"/>
          <w:numId w:val="13"/>
        </w:numPr>
      </w:pPr>
      <w:r w:rsidRPr="00C619EF">
        <w:rPr>
          <w:b/>
          <w:bCs/>
        </w:rPr>
        <w:t>Enterprise landing zones</w:t>
      </w:r>
      <w:r w:rsidRPr="00C619EF">
        <w:t xml:space="preserve"> in each cloud provider</w:t>
      </w:r>
    </w:p>
    <w:p w14:paraId="79CFB7CE" w14:textId="77777777" w:rsidR="00C619EF" w:rsidRPr="00C619EF" w:rsidRDefault="00C619EF" w:rsidP="00C619EF">
      <w:pPr>
        <w:numPr>
          <w:ilvl w:val="0"/>
          <w:numId w:val="13"/>
        </w:numPr>
      </w:pPr>
      <w:r w:rsidRPr="00C619EF">
        <w:rPr>
          <w:b/>
          <w:bCs/>
        </w:rPr>
        <w:t>Identity integration</w:t>
      </w:r>
      <w:r w:rsidRPr="00C619EF">
        <w:t xml:space="preserve"> with judiciary IAM, MFA, federation, and conditional access</w:t>
      </w:r>
    </w:p>
    <w:p w14:paraId="30CB6009" w14:textId="77777777" w:rsidR="00C619EF" w:rsidRPr="00C619EF" w:rsidRDefault="00C619EF" w:rsidP="00C619EF">
      <w:pPr>
        <w:numPr>
          <w:ilvl w:val="0"/>
          <w:numId w:val="13"/>
        </w:numPr>
      </w:pPr>
      <w:r w:rsidRPr="00C619EF">
        <w:rPr>
          <w:b/>
          <w:bCs/>
        </w:rPr>
        <w:t>Zero Trust-aligned networks</w:t>
      </w:r>
      <w:r w:rsidRPr="00C619EF">
        <w:t>, segmentation, firewalls, and secure ingress/egress</w:t>
      </w:r>
    </w:p>
    <w:p w14:paraId="052FF90A" w14:textId="77777777" w:rsidR="00C619EF" w:rsidRPr="00C619EF" w:rsidRDefault="00C619EF" w:rsidP="00C619EF">
      <w:pPr>
        <w:numPr>
          <w:ilvl w:val="0"/>
          <w:numId w:val="13"/>
        </w:numPr>
      </w:pPr>
      <w:r w:rsidRPr="00C619EF">
        <w:rPr>
          <w:b/>
          <w:bCs/>
        </w:rPr>
        <w:t>Unified telemetry pipelines</w:t>
      </w:r>
      <w:r w:rsidRPr="00C619EF">
        <w:t xml:space="preserve"> (logs, metrics, traces) across clouds</w:t>
      </w:r>
    </w:p>
    <w:p w14:paraId="1C7197DA" w14:textId="77777777" w:rsidR="00C619EF" w:rsidRPr="00C619EF" w:rsidRDefault="00C619EF" w:rsidP="00C619EF">
      <w:pPr>
        <w:numPr>
          <w:ilvl w:val="0"/>
          <w:numId w:val="13"/>
        </w:numPr>
      </w:pPr>
      <w:r w:rsidRPr="00C619EF">
        <w:rPr>
          <w:b/>
          <w:bCs/>
        </w:rPr>
        <w:t>Multi-cloud operational tooling</w:t>
      </w:r>
      <w:r w:rsidRPr="00C619EF">
        <w:t xml:space="preserve"> (monitoring, CMDB sync, governance tools)</w:t>
      </w:r>
    </w:p>
    <w:p w14:paraId="4CDB47E8" w14:textId="77777777" w:rsidR="00C619EF" w:rsidRPr="00C619EF" w:rsidRDefault="00C619EF" w:rsidP="00C619EF">
      <w:pPr>
        <w:numPr>
          <w:ilvl w:val="0"/>
          <w:numId w:val="13"/>
        </w:numPr>
      </w:pPr>
      <w:r w:rsidRPr="00C619EF">
        <w:rPr>
          <w:b/>
          <w:bCs/>
        </w:rPr>
        <w:t>Shared services</w:t>
      </w:r>
      <w:r w:rsidRPr="00C619EF">
        <w:t xml:space="preserve"> for DNS, secrets, certificate management, and service catalogs</w:t>
      </w:r>
    </w:p>
    <w:p w14:paraId="13627496" w14:textId="77777777" w:rsidR="00C619EF" w:rsidRPr="00C619EF" w:rsidRDefault="00C619EF" w:rsidP="00C619EF">
      <w:r w:rsidRPr="00C619EF">
        <w:t>The multi-cloud approach ensures resiliency, operational flexibility, workload portability, and avoidance of lock-in.</w:t>
      </w:r>
    </w:p>
    <w:p w14:paraId="431F6826" w14:textId="77777777" w:rsidR="00C619EF" w:rsidRPr="00C619EF" w:rsidRDefault="00C619EF" w:rsidP="00C619EF">
      <w:r w:rsidRPr="00C619EF">
        <w:pict w14:anchorId="0AED8F00">
          <v:rect id="_x0000_i1091" style="width:0;height:1.5pt" o:hralign="center" o:hrstd="t" o:hr="t" fillcolor="#a0a0a0" stroked="f"/>
        </w:pict>
      </w:r>
    </w:p>
    <w:p w14:paraId="26EB427D" w14:textId="77777777" w:rsidR="00C619EF" w:rsidRPr="00C619EF" w:rsidRDefault="00C619EF" w:rsidP="00C619EF">
      <w:pPr>
        <w:rPr>
          <w:b/>
          <w:bCs/>
        </w:rPr>
      </w:pPr>
      <w:r w:rsidRPr="00C619EF">
        <w:rPr>
          <w:b/>
          <w:bCs/>
        </w:rPr>
        <w:t>2. Per-Court Isolation and Provider Selection Through a Formal Scorecard</w:t>
      </w:r>
    </w:p>
    <w:p w14:paraId="2A62703B" w14:textId="77777777" w:rsidR="00C619EF" w:rsidRPr="00C619EF" w:rsidRDefault="00C619EF" w:rsidP="00C619EF">
      <w:r w:rsidRPr="00C619EF">
        <w:t>03_Objectives_and_Scope</w:t>
      </w:r>
    </w:p>
    <w:p w14:paraId="1D785177" w14:textId="77777777" w:rsidR="00C619EF" w:rsidRPr="00C619EF" w:rsidRDefault="00C619EF" w:rsidP="00C619EF">
      <w:pPr>
        <w:rPr>
          <w:b/>
          <w:bCs/>
        </w:rPr>
      </w:pPr>
      <w:r w:rsidRPr="00C619EF">
        <w:rPr>
          <w:b/>
          <w:bCs/>
        </w:rPr>
        <w:t>Expanded Isolation Requirements</w:t>
      </w:r>
    </w:p>
    <w:p w14:paraId="2BDA0764" w14:textId="77777777" w:rsidR="00C619EF" w:rsidRPr="00C619EF" w:rsidRDefault="00C619EF" w:rsidP="00C619EF">
      <w:pPr>
        <w:numPr>
          <w:ilvl w:val="0"/>
          <w:numId w:val="14"/>
        </w:numPr>
      </w:pPr>
      <w:r w:rsidRPr="00C619EF">
        <w:t xml:space="preserve">Each court receives a </w:t>
      </w:r>
      <w:r w:rsidRPr="00C619EF">
        <w:rPr>
          <w:b/>
          <w:bCs/>
        </w:rPr>
        <w:t>logically and technically isolated cloud environment</w:t>
      </w:r>
      <w:r w:rsidRPr="00C619EF">
        <w:t>, preventing cross-court data visibility by default.</w:t>
      </w:r>
    </w:p>
    <w:p w14:paraId="665A53E7" w14:textId="77777777" w:rsidR="00C619EF" w:rsidRPr="00C619EF" w:rsidRDefault="00C619EF" w:rsidP="00C619EF">
      <w:pPr>
        <w:numPr>
          <w:ilvl w:val="0"/>
          <w:numId w:val="14"/>
        </w:numPr>
      </w:pPr>
      <w:r w:rsidRPr="00C619EF">
        <w:t>Standardized identity and network boundaries ensure separation while enabling controlled collaboration where required.</w:t>
      </w:r>
    </w:p>
    <w:p w14:paraId="3251B72F" w14:textId="77777777" w:rsidR="00C619EF" w:rsidRPr="00C619EF" w:rsidRDefault="00C619EF" w:rsidP="00C619EF">
      <w:pPr>
        <w:rPr>
          <w:b/>
          <w:bCs/>
        </w:rPr>
      </w:pPr>
      <w:r w:rsidRPr="00C619EF">
        <w:rPr>
          <w:b/>
          <w:bCs/>
        </w:rPr>
        <w:t>Formal Cloud Provider Selection Scorecard Includes:</w:t>
      </w:r>
    </w:p>
    <w:p w14:paraId="03ED5FFE" w14:textId="77777777" w:rsidR="00C619EF" w:rsidRPr="00C619EF" w:rsidRDefault="00C619EF" w:rsidP="00C619EF">
      <w:pPr>
        <w:numPr>
          <w:ilvl w:val="0"/>
          <w:numId w:val="15"/>
        </w:numPr>
      </w:pPr>
      <w:r w:rsidRPr="00C619EF">
        <w:t>Security and compliance posture</w:t>
      </w:r>
    </w:p>
    <w:p w14:paraId="4488458D" w14:textId="77777777" w:rsidR="00C619EF" w:rsidRPr="00C619EF" w:rsidRDefault="00C619EF" w:rsidP="00C619EF">
      <w:pPr>
        <w:numPr>
          <w:ilvl w:val="0"/>
          <w:numId w:val="15"/>
        </w:numPr>
      </w:pPr>
      <w:r w:rsidRPr="00C619EF">
        <w:t>Cost-efficiency and pricing advantages</w:t>
      </w:r>
    </w:p>
    <w:p w14:paraId="3AE1077E" w14:textId="77777777" w:rsidR="00C619EF" w:rsidRPr="00C619EF" w:rsidRDefault="00C619EF" w:rsidP="00C619EF">
      <w:pPr>
        <w:numPr>
          <w:ilvl w:val="0"/>
          <w:numId w:val="15"/>
        </w:numPr>
      </w:pPr>
      <w:r w:rsidRPr="00C619EF">
        <w:t>Regional presence and latency</w:t>
      </w:r>
    </w:p>
    <w:p w14:paraId="65E93B5F" w14:textId="77777777" w:rsidR="00C619EF" w:rsidRPr="00C619EF" w:rsidRDefault="00C619EF" w:rsidP="00C619EF">
      <w:pPr>
        <w:numPr>
          <w:ilvl w:val="0"/>
          <w:numId w:val="15"/>
        </w:numPr>
      </w:pPr>
      <w:r w:rsidRPr="00C619EF">
        <w:t>Service maturity and roadmap considerations</w:t>
      </w:r>
    </w:p>
    <w:p w14:paraId="3F979A1B" w14:textId="77777777" w:rsidR="00C619EF" w:rsidRPr="00C619EF" w:rsidRDefault="00C619EF" w:rsidP="00C619EF">
      <w:pPr>
        <w:numPr>
          <w:ilvl w:val="0"/>
          <w:numId w:val="15"/>
        </w:numPr>
      </w:pPr>
      <w:r w:rsidRPr="00C619EF">
        <w:lastRenderedPageBreak/>
        <w:t>Integration with court-specific application needs</w:t>
      </w:r>
    </w:p>
    <w:p w14:paraId="35FFDB8B" w14:textId="77777777" w:rsidR="00C619EF" w:rsidRPr="00C619EF" w:rsidRDefault="00C619EF" w:rsidP="00C619EF">
      <w:pPr>
        <w:numPr>
          <w:ilvl w:val="0"/>
          <w:numId w:val="15"/>
        </w:numPr>
      </w:pPr>
      <w:r w:rsidRPr="00C619EF">
        <w:t>Continuity and disaster recovery capabilities</w:t>
      </w:r>
    </w:p>
    <w:p w14:paraId="33964641" w14:textId="77777777" w:rsidR="00C619EF" w:rsidRPr="00C619EF" w:rsidRDefault="00C619EF" w:rsidP="00C619EF">
      <w:r w:rsidRPr="00C619EF">
        <w:t xml:space="preserve">This ensures provider selection is </w:t>
      </w:r>
      <w:r w:rsidRPr="00C619EF">
        <w:rPr>
          <w:b/>
          <w:bCs/>
        </w:rPr>
        <w:t>objective, defensible, and aligned with mission needs</w:t>
      </w:r>
      <w:r w:rsidRPr="00C619EF">
        <w:t>.</w:t>
      </w:r>
    </w:p>
    <w:p w14:paraId="2711EE87" w14:textId="77777777" w:rsidR="00C619EF" w:rsidRPr="00C619EF" w:rsidRDefault="00C619EF" w:rsidP="00C619EF">
      <w:r w:rsidRPr="00C619EF">
        <w:pict w14:anchorId="56939FBB">
          <v:rect id="_x0000_i1092" style="width:0;height:1.5pt" o:hralign="center" o:hrstd="t" o:hr="t" fillcolor="#a0a0a0" stroked="f"/>
        </w:pict>
      </w:r>
    </w:p>
    <w:p w14:paraId="75F86C62" w14:textId="77777777" w:rsidR="00C619EF" w:rsidRPr="00C619EF" w:rsidRDefault="00C619EF" w:rsidP="00C619EF">
      <w:pPr>
        <w:rPr>
          <w:b/>
          <w:bCs/>
        </w:rPr>
      </w:pPr>
      <w:r w:rsidRPr="00C619EF">
        <w:rPr>
          <w:b/>
          <w:bCs/>
        </w:rPr>
        <w:t>3. Migration Factory (7R), Data Protections, Disaster Recovery, and Operational Runbooks</w:t>
      </w:r>
    </w:p>
    <w:p w14:paraId="5662E668" w14:textId="77777777" w:rsidR="00C619EF" w:rsidRPr="00C619EF" w:rsidRDefault="00C619EF" w:rsidP="00C619EF">
      <w:r w:rsidRPr="00C619EF">
        <w:t>03_Objectives_and_Scope</w:t>
      </w:r>
    </w:p>
    <w:p w14:paraId="2B2E18E5" w14:textId="77777777" w:rsidR="00C619EF" w:rsidRPr="00C619EF" w:rsidRDefault="00C619EF" w:rsidP="00C619EF">
      <w:pPr>
        <w:rPr>
          <w:b/>
          <w:bCs/>
        </w:rPr>
      </w:pPr>
      <w:r w:rsidRPr="00C619EF">
        <w:rPr>
          <w:b/>
          <w:bCs/>
        </w:rPr>
        <w:t>Expanded Migration Factory Scope</w:t>
      </w:r>
    </w:p>
    <w:p w14:paraId="227DDF5C" w14:textId="77777777" w:rsidR="00C619EF" w:rsidRPr="00C619EF" w:rsidRDefault="00C619EF" w:rsidP="00C619EF">
      <w:r w:rsidRPr="00C619EF">
        <w:t>The migration factory includes:</w:t>
      </w:r>
    </w:p>
    <w:p w14:paraId="51EEA1EA" w14:textId="77777777" w:rsidR="00C619EF" w:rsidRPr="00C619EF" w:rsidRDefault="00C619EF" w:rsidP="00C619EF">
      <w:pPr>
        <w:numPr>
          <w:ilvl w:val="0"/>
          <w:numId w:val="16"/>
        </w:numPr>
      </w:pPr>
      <w:r w:rsidRPr="00C619EF">
        <w:rPr>
          <w:b/>
          <w:bCs/>
        </w:rPr>
        <w:t>Full application portfolio analysis</w:t>
      </w:r>
    </w:p>
    <w:p w14:paraId="4AC67183" w14:textId="77777777" w:rsidR="00C619EF" w:rsidRPr="00C619EF" w:rsidRDefault="00C619EF" w:rsidP="00C619EF">
      <w:pPr>
        <w:numPr>
          <w:ilvl w:val="0"/>
          <w:numId w:val="16"/>
        </w:numPr>
      </w:pPr>
      <w:r w:rsidRPr="00C619EF">
        <w:rPr>
          <w:b/>
          <w:bCs/>
        </w:rPr>
        <w:t>Dependency mapping</w:t>
      </w:r>
      <w:r w:rsidRPr="00C619EF">
        <w:t xml:space="preserve"> (network, data, identity, external services)</w:t>
      </w:r>
    </w:p>
    <w:p w14:paraId="39FD90D2" w14:textId="77777777" w:rsidR="00C619EF" w:rsidRPr="00C619EF" w:rsidRDefault="00C619EF" w:rsidP="00C619EF">
      <w:pPr>
        <w:numPr>
          <w:ilvl w:val="0"/>
          <w:numId w:val="16"/>
        </w:numPr>
      </w:pPr>
      <w:r w:rsidRPr="00C619EF">
        <w:rPr>
          <w:b/>
          <w:bCs/>
        </w:rPr>
        <w:t>Resilient cutover design</w:t>
      </w:r>
      <w:r w:rsidRPr="00C619EF">
        <w:t>, rollback patterns, and test protocols</w:t>
      </w:r>
    </w:p>
    <w:p w14:paraId="4FA9A726" w14:textId="77777777" w:rsidR="00C619EF" w:rsidRPr="00C619EF" w:rsidRDefault="00C619EF" w:rsidP="00C619EF">
      <w:pPr>
        <w:numPr>
          <w:ilvl w:val="0"/>
          <w:numId w:val="16"/>
        </w:numPr>
      </w:pPr>
      <w:r w:rsidRPr="00C619EF">
        <w:rPr>
          <w:b/>
          <w:bCs/>
        </w:rPr>
        <w:t>Automation pipelines</w:t>
      </w:r>
      <w:r w:rsidRPr="00C619EF">
        <w:t xml:space="preserve"> for provisioning, migration, and validation</w:t>
      </w:r>
    </w:p>
    <w:p w14:paraId="3A7E34FF" w14:textId="77777777" w:rsidR="00C619EF" w:rsidRPr="00C619EF" w:rsidRDefault="00C619EF" w:rsidP="00C619EF">
      <w:pPr>
        <w:numPr>
          <w:ilvl w:val="0"/>
          <w:numId w:val="16"/>
        </w:numPr>
      </w:pPr>
      <w:r w:rsidRPr="00C619EF">
        <w:t xml:space="preserve">Tools supporting rehost, </w:t>
      </w:r>
      <w:proofErr w:type="spellStart"/>
      <w:r w:rsidRPr="00C619EF">
        <w:t>replatform</w:t>
      </w:r>
      <w:proofErr w:type="spellEnd"/>
      <w:r w:rsidRPr="00C619EF">
        <w:t xml:space="preserve">, refactor, retire, repurchase, or rearchitect decisions using the </w:t>
      </w:r>
      <w:r w:rsidRPr="00C619EF">
        <w:rPr>
          <w:b/>
          <w:bCs/>
        </w:rPr>
        <w:t>7R framework</w:t>
      </w:r>
      <w:r w:rsidRPr="00C619EF">
        <w:t>.</w:t>
      </w:r>
    </w:p>
    <w:p w14:paraId="16C3EC76" w14:textId="77777777" w:rsidR="00C619EF" w:rsidRPr="00C619EF" w:rsidRDefault="00C619EF" w:rsidP="00C619EF">
      <w:pPr>
        <w:rPr>
          <w:b/>
          <w:bCs/>
        </w:rPr>
      </w:pPr>
      <w:r w:rsidRPr="00C619EF">
        <w:rPr>
          <w:b/>
          <w:bCs/>
        </w:rPr>
        <w:t>Expanded Data Protection &amp; DR Scope</w:t>
      </w:r>
    </w:p>
    <w:p w14:paraId="75532BD4" w14:textId="77777777" w:rsidR="00C619EF" w:rsidRPr="00C619EF" w:rsidRDefault="00C619EF" w:rsidP="00C619EF">
      <w:pPr>
        <w:numPr>
          <w:ilvl w:val="0"/>
          <w:numId w:val="17"/>
        </w:numPr>
      </w:pPr>
      <w:r w:rsidRPr="00C619EF">
        <w:t>Automated backups, snapshots, vaulting, and retention policies</w:t>
      </w:r>
    </w:p>
    <w:p w14:paraId="12C5505D" w14:textId="77777777" w:rsidR="00C619EF" w:rsidRPr="00C619EF" w:rsidRDefault="00C619EF" w:rsidP="00C619EF">
      <w:pPr>
        <w:numPr>
          <w:ilvl w:val="0"/>
          <w:numId w:val="17"/>
        </w:numPr>
      </w:pPr>
      <w:r w:rsidRPr="00C619EF">
        <w:t>Cross-region and multi-provider replication</w:t>
      </w:r>
    </w:p>
    <w:p w14:paraId="36A8CC70" w14:textId="77777777" w:rsidR="00C619EF" w:rsidRPr="00C619EF" w:rsidRDefault="00C619EF" w:rsidP="00C619EF">
      <w:pPr>
        <w:numPr>
          <w:ilvl w:val="0"/>
          <w:numId w:val="17"/>
        </w:numPr>
      </w:pPr>
      <w:r w:rsidRPr="00C619EF">
        <w:t>COOP alignment for court-mandated continuity</w:t>
      </w:r>
    </w:p>
    <w:p w14:paraId="04B7B790" w14:textId="77777777" w:rsidR="00C619EF" w:rsidRPr="00C619EF" w:rsidRDefault="00C619EF" w:rsidP="00C619EF">
      <w:pPr>
        <w:numPr>
          <w:ilvl w:val="0"/>
          <w:numId w:val="17"/>
        </w:numPr>
      </w:pPr>
      <w:r w:rsidRPr="00C619EF">
        <w:t>Recovery Time Objective (RTO) and Recovery Point Objective (RPO) baselines</w:t>
      </w:r>
    </w:p>
    <w:p w14:paraId="1709BEBF" w14:textId="77777777" w:rsidR="00C619EF" w:rsidRPr="00C619EF" w:rsidRDefault="00C619EF" w:rsidP="00C619EF">
      <w:pPr>
        <w:numPr>
          <w:ilvl w:val="0"/>
          <w:numId w:val="17"/>
        </w:numPr>
      </w:pPr>
      <w:r w:rsidRPr="00C619EF">
        <w:t>Routine DR tests and audit-ready documentation</w:t>
      </w:r>
    </w:p>
    <w:p w14:paraId="6BE75809" w14:textId="77777777" w:rsidR="00C619EF" w:rsidRPr="00C619EF" w:rsidRDefault="00C619EF" w:rsidP="00C619EF">
      <w:pPr>
        <w:rPr>
          <w:b/>
          <w:bCs/>
        </w:rPr>
      </w:pPr>
      <w:r w:rsidRPr="00C619EF">
        <w:rPr>
          <w:b/>
          <w:bCs/>
        </w:rPr>
        <w:t>Operational Runbooks</w:t>
      </w:r>
    </w:p>
    <w:p w14:paraId="25294962" w14:textId="77777777" w:rsidR="00C619EF" w:rsidRPr="00C619EF" w:rsidRDefault="00C619EF" w:rsidP="00C619EF">
      <w:pPr>
        <w:numPr>
          <w:ilvl w:val="0"/>
          <w:numId w:val="18"/>
        </w:numPr>
      </w:pPr>
      <w:r w:rsidRPr="00C619EF">
        <w:t>Cloud operational procedures</w:t>
      </w:r>
    </w:p>
    <w:p w14:paraId="3BF0EEAC" w14:textId="77777777" w:rsidR="00C619EF" w:rsidRPr="00C619EF" w:rsidRDefault="00C619EF" w:rsidP="00C619EF">
      <w:pPr>
        <w:numPr>
          <w:ilvl w:val="0"/>
          <w:numId w:val="18"/>
        </w:numPr>
      </w:pPr>
      <w:r w:rsidRPr="00C619EF">
        <w:t>Incident response workflows</w:t>
      </w:r>
    </w:p>
    <w:p w14:paraId="25010D8F" w14:textId="77777777" w:rsidR="00C619EF" w:rsidRPr="00C619EF" w:rsidRDefault="00C619EF" w:rsidP="00C619EF">
      <w:pPr>
        <w:numPr>
          <w:ilvl w:val="0"/>
          <w:numId w:val="18"/>
        </w:numPr>
      </w:pPr>
      <w:r w:rsidRPr="00C619EF">
        <w:t>Monitoring and alerting standards</w:t>
      </w:r>
    </w:p>
    <w:p w14:paraId="3471EEF5" w14:textId="77777777" w:rsidR="00C619EF" w:rsidRPr="00C619EF" w:rsidRDefault="00C619EF" w:rsidP="00C619EF">
      <w:pPr>
        <w:numPr>
          <w:ilvl w:val="0"/>
          <w:numId w:val="18"/>
        </w:numPr>
      </w:pPr>
      <w:r w:rsidRPr="00C619EF">
        <w:t>Patching, lifecycle, and versioning procedures</w:t>
      </w:r>
    </w:p>
    <w:p w14:paraId="11E8F5D6" w14:textId="77777777" w:rsidR="00C619EF" w:rsidRPr="00C619EF" w:rsidRDefault="00C619EF" w:rsidP="00C619EF">
      <w:pPr>
        <w:numPr>
          <w:ilvl w:val="0"/>
          <w:numId w:val="18"/>
        </w:numPr>
      </w:pPr>
      <w:r w:rsidRPr="00C619EF">
        <w:t>Cost and performance optimization procedures</w:t>
      </w:r>
    </w:p>
    <w:p w14:paraId="312BDB80" w14:textId="77777777" w:rsidR="00C619EF" w:rsidRPr="00C619EF" w:rsidRDefault="00C619EF" w:rsidP="00C619EF">
      <w:r w:rsidRPr="00C619EF">
        <w:t>This ensures courts operate reliably, securely, and consistently across cloud environments.</w:t>
      </w:r>
    </w:p>
    <w:p w14:paraId="7A907F49" w14:textId="77777777" w:rsidR="00C619EF" w:rsidRPr="00C619EF" w:rsidRDefault="00C619EF" w:rsidP="00C619EF">
      <w:r w:rsidRPr="00C619EF">
        <w:lastRenderedPageBreak/>
        <w:pict w14:anchorId="7863B3A1">
          <v:rect id="_x0000_i1093" style="width:0;height:1.5pt" o:hralign="center" o:hrstd="t" o:hr="t" fillcolor="#a0a0a0" stroked="f"/>
        </w:pict>
      </w:r>
    </w:p>
    <w:p w14:paraId="146FFFCB" w14:textId="77777777" w:rsidR="00C619EF" w:rsidRPr="00C619EF" w:rsidRDefault="00C619EF" w:rsidP="00C619EF">
      <w:pPr>
        <w:rPr>
          <w:b/>
          <w:bCs/>
        </w:rPr>
      </w:pPr>
      <w:r w:rsidRPr="00C619EF">
        <w:rPr>
          <w:b/>
          <w:bCs/>
        </w:rPr>
        <w:t>III. Out of Scope (Addressed in Other Sections)</w:t>
      </w:r>
    </w:p>
    <w:p w14:paraId="27B4D45B" w14:textId="77777777" w:rsidR="00C619EF" w:rsidRPr="00C619EF" w:rsidRDefault="00C619EF" w:rsidP="00C619EF">
      <w:r w:rsidRPr="00C619EF">
        <w:t>03_Objectives_and_Scope</w:t>
      </w:r>
    </w:p>
    <w:p w14:paraId="5F437715" w14:textId="77777777" w:rsidR="00C619EF" w:rsidRPr="00C619EF" w:rsidRDefault="00C619EF" w:rsidP="00C619EF">
      <w:r w:rsidRPr="00C619EF">
        <w:t xml:space="preserve">The following areas are explicitly </w:t>
      </w:r>
      <w:r w:rsidRPr="00C619EF">
        <w:rPr>
          <w:b/>
          <w:bCs/>
        </w:rPr>
        <w:t>not included</w:t>
      </w:r>
      <w:r w:rsidRPr="00C619EF">
        <w:t xml:space="preserve"> in this section but are addressed in dedicated governance and compliance chapters:</w:t>
      </w:r>
    </w:p>
    <w:p w14:paraId="3A3C3A2B" w14:textId="77777777" w:rsidR="00C619EF" w:rsidRPr="00C619EF" w:rsidRDefault="00C619EF" w:rsidP="00C619EF">
      <w:pPr>
        <w:rPr>
          <w:b/>
          <w:bCs/>
        </w:rPr>
      </w:pPr>
      <w:r w:rsidRPr="00C619EF">
        <w:rPr>
          <w:b/>
          <w:bCs/>
        </w:rPr>
        <w:t>1. Full Governance Charters (ARB/CCB)</w:t>
      </w:r>
    </w:p>
    <w:p w14:paraId="33905FC9" w14:textId="77777777" w:rsidR="00C619EF" w:rsidRPr="00C619EF" w:rsidRDefault="00C619EF" w:rsidP="00C619EF">
      <w:pPr>
        <w:numPr>
          <w:ilvl w:val="0"/>
          <w:numId w:val="19"/>
        </w:numPr>
      </w:pPr>
      <w:r w:rsidRPr="00C619EF">
        <w:t>Detailed decision-making frameworks</w:t>
      </w:r>
    </w:p>
    <w:p w14:paraId="44B76588" w14:textId="77777777" w:rsidR="00C619EF" w:rsidRPr="00C619EF" w:rsidRDefault="00C619EF" w:rsidP="00C619EF">
      <w:pPr>
        <w:numPr>
          <w:ilvl w:val="0"/>
          <w:numId w:val="19"/>
        </w:numPr>
      </w:pPr>
      <w:r w:rsidRPr="00C619EF">
        <w:t>Escalation procedures</w:t>
      </w:r>
    </w:p>
    <w:p w14:paraId="4ABEDF22" w14:textId="77777777" w:rsidR="00C619EF" w:rsidRPr="00C619EF" w:rsidRDefault="00C619EF" w:rsidP="00C619EF">
      <w:pPr>
        <w:numPr>
          <w:ilvl w:val="0"/>
          <w:numId w:val="19"/>
        </w:numPr>
      </w:pPr>
      <w:r w:rsidRPr="00C619EF">
        <w:t>Architectural review workflows</w:t>
      </w:r>
    </w:p>
    <w:p w14:paraId="1782F532" w14:textId="77777777" w:rsidR="00C619EF" w:rsidRPr="00C619EF" w:rsidRDefault="00C619EF" w:rsidP="00C619EF">
      <w:pPr>
        <w:numPr>
          <w:ilvl w:val="0"/>
          <w:numId w:val="19"/>
        </w:numPr>
      </w:pPr>
      <w:r w:rsidRPr="00C619EF">
        <w:t>Change management requirements</w:t>
      </w:r>
    </w:p>
    <w:p w14:paraId="16052A7A" w14:textId="77777777" w:rsidR="00C619EF" w:rsidRPr="00C619EF" w:rsidRDefault="00C619EF" w:rsidP="00C619EF">
      <w:pPr>
        <w:rPr>
          <w:b/>
          <w:bCs/>
        </w:rPr>
      </w:pPr>
      <w:r w:rsidRPr="00C619EF">
        <w:rPr>
          <w:b/>
          <w:bCs/>
        </w:rPr>
        <w:t>2. Detailed Policies and OKRs</w:t>
      </w:r>
    </w:p>
    <w:p w14:paraId="5F3B3D58" w14:textId="77777777" w:rsidR="00C619EF" w:rsidRPr="00C619EF" w:rsidRDefault="00C619EF" w:rsidP="00C619EF">
      <w:pPr>
        <w:numPr>
          <w:ilvl w:val="0"/>
          <w:numId w:val="20"/>
        </w:numPr>
      </w:pPr>
      <w:r w:rsidRPr="00C619EF">
        <w:t>Policy definitions</w:t>
      </w:r>
    </w:p>
    <w:p w14:paraId="7EAD4D8E" w14:textId="77777777" w:rsidR="00C619EF" w:rsidRPr="00C619EF" w:rsidRDefault="00C619EF" w:rsidP="00C619EF">
      <w:pPr>
        <w:numPr>
          <w:ilvl w:val="0"/>
          <w:numId w:val="20"/>
        </w:numPr>
      </w:pPr>
      <w:r w:rsidRPr="00C619EF">
        <w:t>Quarterly/annual success metrics</w:t>
      </w:r>
    </w:p>
    <w:p w14:paraId="598532B3" w14:textId="77777777" w:rsidR="00C619EF" w:rsidRPr="00C619EF" w:rsidRDefault="00C619EF" w:rsidP="00C619EF">
      <w:pPr>
        <w:numPr>
          <w:ilvl w:val="0"/>
          <w:numId w:val="20"/>
        </w:numPr>
      </w:pPr>
      <w:r w:rsidRPr="00C619EF">
        <w:t>Accountability frameworks</w:t>
      </w:r>
    </w:p>
    <w:p w14:paraId="65F6EF71" w14:textId="77777777" w:rsidR="00C619EF" w:rsidRPr="00C619EF" w:rsidRDefault="00C619EF" w:rsidP="00C619EF">
      <w:pPr>
        <w:rPr>
          <w:b/>
          <w:bCs/>
        </w:rPr>
      </w:pPr>
      <w:r w:rsidRPr="00C619EF">
        <w:rPr>
          <w:b/>
          <w:bCs/>
        </w:rPr>
        <w:t>3. Complete FedRAMP Artifact Set</w:t>
      </w:r>
    </w:p>
    <w:p w14:paraId="4D4CA9E7" w14:textId="77777777" w:rsidR="00C619EF" w:rsidRPr="00C619EF" w:rsidRDefault="00C619EF" w:rsidP="00C619EF">
      <w:pPr>
        <w:numPr>
          <w:ilvl w:val="0"/>
          <w:numId w:val="21"/>
        </w:numPr>
      </w:pPr>
      <w:r w:rsidRPr="00C619EF">
        <w:t>SSP documentation</w:t>
      </w:r>
    </w:p>
    <w:p w14:paraId="111ED352" w14:textId="77777777" w:rsidR="00C619EF" w:rsidRPr="00C619EF" w:rsidRDefault="00C619EF" w:rsidP="00C619EF">
      <w:pPr>
        <w:numPr>
          <w:ilvl w:val="0"/>
          <w:numId w:val="21"/>
        </w:numPr>
      </w:pPr>
      <w:r w:rsidRPr="00C619EF">
        <w:t>Security control implementation details</w:t>
      </w:r>
    </w:p>
    <w:p w14:paraId="669DA071" w14:textId="77777777" w:rsidR="00C619EF" w:rsidRPr="00C619EF" w:rsidRDefault="00C619EF" w:rsidP="00C619EF">
      <w:pPr>
        <w:numPr>
          <w:ilvl w:val="0"/>
          <w:numId w:val="21"/>
        </w:numPr>
      </w:pPr>
      <w:r w:rsidRPr="00C619EF">
        <w:t>Evidence packages</w:t>
      </w:r>
    </w:p>
    <w:p w14:paraId="4820FCF8" w14:textId="77777777" w:rsidR="00C619EF" w:rsidRPr="00C619EF" w:rsidRDefault="00C619EF" w:rsidP="00C619EF">
      <w:pPr>
        <w:numPr>
          <w:ilvl w:val="0"/>
          <w:numId w:val="21"/>
        </w:numPr>
      </w:pPr>
      <w:r w:rsidRPr="00C619EF">
        <w:t>Continuous monitoring artifacts</w:t>
      </w:r>
    </w:p>
    <w:p w14:paraId="3495A1D7" w14:textId="77777777" w:rsidR="00C619EF" w:rsidRPr="00C619EF" w:rsidRDefault="00C619EF" w:rsidP="00C619EF">
      <w:r w:rsidRPr="00C619EF">
        <w:t>These will be incorporated into the Governance, Security, and ATO package sections.</w:t>
      </w:r>
    </w:p>
    <w:p w14:paraId="6B6E9696" w14:textId="77777777" w:rsidR="00C619EF" w:rsidRPr="00C619EF" w:rsidRDefault="00C619EF" w:rsidP="00C619EF">
      <w:r w:rsidRPr="00C619EF">
        <w:pict w14:anchorId="23EF1A81">
          <v:rect id="_x0000_i1094" style="width:0;height:1.5pt" o:hralign="center" o:hrstd="t" o:hr="t" fillcolor="#a0a0a0" stroked="f"/>
        </w:pict>
      </w:r>
    </w:p>
    <w:p w14:paraId="0C93DE66" w14:textId="77777777" w:rsidR="00C619EF" w:rsidRPr="00C619EF" w:rsidRDefault="00C619EF" w:rsidP="00C619EF">
      <w:pPr>
        <w:rPr>
          <w:b/>
          <w:bCs/>
        </w:rPr>
      </w:pPr>
      <w:r w:rsidRPr="00C619EF">
        <w:rPr>
          <w:b/>
          <w:bCs/>
        </w:rPr>
        <w:t>Summary</w:t>
      </w:r>
    </w:p>
    <w:p w14:paraId="1FC7A3BB" w14:textId="77777777" w:rsidR="00C619EF" w:rsidRPr="00C619EF" w:rsidRDefault="00C619EF" w:rsidP="00C619EF">
      <w:r w:rsidRPr="00C619EF">
        <w:t xml:space="preserve">The </w:t>
      </w:r>
      <w:r w:rsidRPr="00C619EF">
        <w:rPr>
          <w:b/>
          <w:bCs/>
        </w:rPr>
        <w:t>Objectives and Scope</w:t>
      </w:r>
      <w:r w:rsidRPr="00C619EF">
        <w:t xml:space="preserve"> outlined above establish the foundation for a judiciary-wide cloud transformation that is secure, standardized, and future-ready. By aligning cloud modernization with federal security frameworks, deploying multi-cloud architectures, implementing a scalable migration factory, and institutionalizing a robust Cloud Center of Excellence, the judiciary positions itself for long-term resilience, security, and operational excellence.</w:t>
      </w:r>
    </w:p>
    <w:p w14:paraId="127EE7D4" w14:textId="75CC1EE5" w:rsidR="007919C3" w:rsidRPr="00C619EF" w:rsidRDefault="007919C3" w:rsidP="00C619EF"/>
    <w:sectPr w:rsidR="007919C3" w:rsidRPr="00C619E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AE2405"/>
    <w:multiLevelType w:val="multilevel"/>
    <w:tmpl w:val="164E2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B9237B"/>
    <w:multiLevelType w:val="multilevel"/>
    <w:tmpl w:val="D4BE3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295284"/>
    <w:multiLevelType w:val="multilevel"/>
    <w:tmpl w:val="928A5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DE6092"/>
    <w:multiLevelType w:val="multilevel"/>
    <w:tmpl w:val="0D7A7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6248C3"/>
    <w:multiLevelType w:val="multilevel"/>
    <w:tmpl w:val="23829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BE2556"/>
    <w:multiLevelType w:val="multilevel"/>
    <w:tmpl w:val="1BA05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775E58"/>
    <w:multiLevelType w:val="multilevel"/>
    <w:tmpl w:val="1B5E2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C92966"/>
    <w:multiLevelType w:val="multilevel"/>
    <w:tmpl w:val="E5B61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BE40D7"/>
    <w:multiLevelType w:val="multilevel"/>
    <w:tmpl w:val="8668C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E15908"/>
    <w:multiLevelType w:val="multilevel"/>
    <w:tmpl w:val="A12A7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80777C"/>
    <w:multiLevelType w:val="multilevel"/>
    <w:tmpl w:val="2B967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F009D4"/>
    <w:multiLevelType w:val="multilevel"/>
    <w:tmpl w:val="691CA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6910144">
    <w:abstractNumId w:val="8"/>
  </w:num>
  <w:num w:numId="2" w16cid:durableId="18434634">
    <w:abstractNumId w:val="6"/>
  </w:num>
  <w:num w:numId="3" w16cid:durableId="795372133">
    <w:abstractNumId w:val="5"/>
  </w:num>
  <w:num w:numId="4" w16cid:durableId="819733762">
    <w:abstractNumId w:val="4"/>
  </w:num>
  <w:num w:numId="5" w16cid:durableId="644627239">
    <w:abstractNumId w:val="7"/>
  </w:num>
  <w:num w:numId="6" w16cid:durableId="1791245773">
    <w:abstractNumId w:val="3"/>
  </w:num>
  <w:num w:numId="7" w16cid:durableId="718092614">
    <w:abstractNumId w:val="2"/>
  </w:num>
  <w:num w:numId="8" w16cid:durableId="104430236">
    <w:abstractNumId w:val="1"/>
  </w:num>
  <w:num w:numId="9" w16cid:durableId="567151146">
    <w:abstractNumId w:val="0"/>
  </w:num>
  <w:num w:numId="10" w16cid:durableId="1358920598">
    <w:abstractNumId w:val="20"/>
  </w:num>
  <w:num w:numId="11" w16cid:durableId="947002342">
    <w:abstractNumId w:val="9"/>
  </w:num>
  <w:num w:numId="12" w16cid:durableId="730272389">
    <w:abstractNumId w:val="10"/>
  </w:num>
  <w:num w:numId="13" w16cid:durableId="1486319175">
    <w:abstractNumId w:val="11"/>
  </w:num>
  <w:num w:numId="14" w16cid:durableId="1129595507">
    <w:abstractNumId w:val="15"/>
  </w:num>
  <w:num w:numId="15" w16cid:durableId="837229071">
    <w:abstractNumId w:val="19"/>
  </w:num>
  <w:num w:numId="16" w16cid:durableId="672102120">
    <w:abstractNumId w:val="16"/>
  </w:num>
  <w:num w:numId="17" w16cid:durableId="1793473472">
    <w:abstractNumId w:val="18"/>
  </w:num>
  <w:num w:numId="18" w16cid:durableId="1473249774">
    <w:abstractNumId w:val="14"/>
  </w:num>
  <w:num w:numId="19" w16cid:durableId="2067946971">
    <w:abstractNumId w:val="12"/>
  </w:num>
  <w:num w:numId="20" w16cid:durableId="919604997">
    <w:abstractNumId w:val="17"/>
  </w:num>
  <w:num w:numId="21" w16cid:durableId="192584208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94820"/>
    <w:rsid w:val="007919C3"/>
    <w:rsid w:val="00AA1D8D"/>
    <w:rsid w:val="00B47730"/>
    <w:rsid w:val="00C619E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0D1F45"/>
  <w14:defaultImageDpi w14:val="300"/>
  <w15:docId w15:val="{3056A75C-5389-4144-ACF3-7DCA0EFDD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92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0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1276</Words>
  <Characters>7279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Theodore Gibson</cp:lastModifiedBy>
  <cp:revision>2</cp:revision>
  <dcterms:created xsi:type="dcterms:W3CDTF">2013-12-23T23:15:00Z</dcterms:created>
  <dcterms:modified xsi:type="dcterms:W3CDTF">2025-12-04T17:32:00Z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f130fce2-a50e-4b64-bdc4-438ce4bc2ceb</vt:lpwstr>
  </property>
</Properties>
</file>