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Executive Overview</w:t>
      </w:r>
    </w:p>
    <w:p>
      <w:r>
        <w:t>Date: 2025-11-12</w:t>
      </w:r>
    </w:p>
    <w:p/>
    <w:p>
      <w:r>
        <w:t>Establish a Center of Excellence that standardizes secure, efficient, and measurable cloud adoption and operations across approximately 300 courts.</w:t>
      </w:r>
    </w:p>
    <w:p>
      <w:r>
        <w:t>Provide end-to-end capabilities: discovery, migration factory, multi-cloud landing zones, Zero Trust security, data governance, DevSecOps, FinOps, ITSM, and 24x7 operations.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