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Objectives and Scope</w:t>
      </w:r>
    </w:p>
    <w:p>
      <w:r>
        <w:t>Date: 2025-11-12</w:t>
      </w:r>
    </w:p>
    <w:p/>
    <w:p>
      <w:r>
        <w:t>Objectives</w:t>
      </w:r>
    </w:p>
    <w:p>
      <w:r>
        <w:t>• Deliver a sustainable CCoE with governance, policy-as-code, and standardized delivery patterns.</w:t>
      </w:r>
    </w:p>
    <w:p>
      <w:r>
        <w:t>• Modernize with minimal disruption; reduce risk and time-to-value; enable cost control and transparency.</w:t>
      </w:r>
    </w:p>
    <w:p>
      <w:r>
        <w:t>• Align security to NIST SP 800-53 Rev. 5 and FedRAMP Moderate with uplift path to High-equivalent where required.</w:t>
      </w:r>
    </w:p>
    <w:p>
      <w:r>
        <w:t>Scope</w:t>
      </w:r>
    </w:p>
    <w:p>
      <w:r>
        <w:t>• Multi-cloud architecture for AWS, Azure, Google Cloud, and Oracle Cloud.</w:t>
      </w:r>
    </w:p>
    <w:p>
      <w:r>
        <w:t>• Per-court isolation and provider selection via a formal scorecard.</w:t>
      </w:r>
    </w:p>
    <w:p>
      <w:r>
        <w:t>• Migration factory (7R decisioning), data protections, DR, and operational runbooks.</w:t>
      </w:r>
    </w:p>
    <w:p>
      <w:r>
        <w:t>Out of Scope (handled in later sections)</w:t>
      </w:r>
    </w:p>
    <w:p>
      <w:r>
        <w:t>• Full governance charters (ARB/CCB), detailed policies, and OKRs (see Governance).</w:t>
      </w:r>
    </w:p>
    <w:p>
      <w:r>
        <w:t>• Complete FedRAMP artifact set (see ATO package).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