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Stakeholders and Roles</w:t>
      </w:r>
    </w:p>
    <w:p>
      <w:r>
        <w:t>Date: 2025-11-12</w:t>
      </w:r>
    </w:p>
    <w:p/>
    <w:p>
      <w:r>
        <w:t>Key Stakeholders</w:t>
      </w:r>
    </w:p>
    <w:p>
      <w:r>
        <w:t>• AOUSC Program Leadership (Sponsor)</w:t>
      </w:r>
    </w:p>
    <w:p>
      <w:r>
        <w:t>• CCoE Director (Delivery owner)</w:t>
      </w:r>
    </w:p>
    <w:p>
      <w:r>
        <w:t>• Theodore Gibson, Agnostic Cloud Architect (Technical authority)</w:t>
      </w:r>
    </w:p>
    <w:p>
      <w:r>
        <w:t>• Security Officer, Network Lead, Data Lead, App Migration Lead, FinOps Lead, ITSM Lead</w:t>
      </w:r>
    </w:p>
    <w:p>
      <w:r>
        <w:t>• Court IT Leads and Business Owners (per court)</w:t>
      </w:r>
    </w:p>
    <w:p>
      <w:r>
        <w:t>Role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Primary Responsibilities</w:t>
            </w:r>
          </w:p>
        </w:tc>
      </w:tr>
      <w:tr>
        <w:tc>
          <w:tcPr>
            <w:tcW w:type="dxa" w:w="4320"/>
          </w:tcPr>
          <w:p>
            <w:r>
              <w:t>Agnostic Cloud Architect</w:t>
            </w:r>
          </w:p>
        </w:tc>
        <w:tc>
          <w:tcPr>
            <w:tcW w:type="dxa" w:w="4320"/>
          </w:tcPr>
          <w:p>
            <w:r>
              <w:t>Reference architectures; provider selections; guardrails; approvals</w:t>
            </w:r>
          </w:p>
        </w:tc>
      </w:tr>
      <w:tr>
        <w:tc>
          <w:tcPr>
            <w:tcW w:type="dxa" w:w="4320"/>
          </w:tcPr>
          <w:p>
            <w:r>
              <w:t>Security Officer</w:t>
            </w:r>
          </w:p>
        </w:tc>
        <w:tc>
          <w:tcPr>
            <w:tcW w:type="dxa" w:w="4320"/>
          </w:tcPr>
          <w:p>
            <w:r>
              <w:t>Controls, exceptions, monitoring, incident coordination</w:t>
            </w:r>
          </w:p>
        </w:tc>
      </w:tr>
      <w:tr>
        <w:tc>
          <w:tcPr>
            <w:tcW w:type="dxa" w:w="4320"/>
          </w:tcPr>
          <w:p>
            <w:r>
              <w:t>Network Lead</w:t>
            </w:r>
          </w:p>
        </w:tc>
        <w:tc>
          <w:tcPr>
            <w:tcW w:type="dxa" w:w="4320"/>
          </w:tcPr>
          <w:p>
            <w:r>
              <w:t>WAN/interconnect, ingress/egress, private service access</w:t>
            </w:r>
          </w:p>
        </w:tc>
      </w:tr>
      <w:tr>
        <w:tc>
          <w:tcPr>
            <w:tcW w:type="dxa" w:w="4320"/>
          </w:tcPr>
          <w:p>
            <w:r>
              <w:t>Data Lead</w:t>
            </w:r>
          </w:p>
        </w:tc>
        <w:tc>
          <w:tcPr>
            <w:tcW w:type="dxa" w:w="4320"/>
          </w:tcPr>
          <w:p>
            <w:r>
              <w:t>Classification, tagging, retention, lineage, privacy</w:t>
            </w:r>
          </w:p>
        </w:tc>
      </w:tr>
      <w:tr>
        <w:tc>
          <w:tcPr>
            <w:tcW w:type="dxa" w:w="4320"/>
          </w:tcPr>
          <w:p>
            <w:r>
              <w:t>App Migration Lead</w:t>
            </w:r>
          </w:p>
        </w:tc>
        <w:tc>
          <w:tcPr>
            <w:tcW w:type="dxa" w:w="4320"/>
          </w:tcPr>
          <w:p>
            <w:r>
              <w:t>Factory operations, cutover, rollback, hypercare</w:t>
            </w:r>
          </w:p>
        </w:tc>
      </w:tr>
      <w:tr>
        <w:tc>
          <w:tcPr>
            <w:tcW w:type="dxa" w:w="4320"/>
          </w:tcPr>
          <w:p>
            <w:r>
              <w:t>FinOps Lead</w:t>
            </w:r>
          </w:p>
        </w:tc>
        <w:tc>
          <w:tcPr>
            <w:tcW w:type="dxa" w:w="4320"/>
          </w:tcPr>
          <w:p>
            <w:r>
              <w:t>Budgets, anomaly detection, commitments, showback/chargeback</w:t>
            </w:r>
          </w:p>
        </w:tc>
      </w:tr>
      <w:tr>
        <w:tc>
          <w:tcPr>
            <w:tcW w:type="dxa" w:w="4320"/>
          </w:tcPr>
          <w:p>
            <w:r>
              <w:t>ITSM Lead</w:t>
            </w:r>
          </w:p>
        </w:tc>
        <w:tc>
          <w:tcPr>
            <w:tcW w:type="dxa" w:w="4320"/>
          </w:tcPr>
          <w:p>
            <w:r>
              <w:t>Incidents, problems, changes, CMDB, runbooks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