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Security Markings and Submission Conventions</w:t>
      </w:r>
    </w:p>
    <w:p>
      <w:r>
        <w:t>Date: 2025-11-12</w:t>
      </w:r>
    </w:p>
    <w:p/>
    <w:p>
      <w:r>
        <w:t>• Use appropriate markings (e.g., Controlled Unclassified).</w:t>
      </w:r>
    </w:p>
    <w:p>
      <w:r>
        <w:t>• All documents in Word (.docx), black text only.</w:t>
      </w:r>
    </w:p>
    <w:p>
      <w:r>
        <w:t>• Main narratives adhere to page and file-size limits as specified by AOUSC notices.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