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Program Governance Overview</w:t>
      </w:r>
    </w:p>
    <w:p>
      <w:r>
        <w:t>Date: 2025-11-12</w:t>
      </w:r>
    </w:p>
    <w:p/>
    <w:p>
      <w:r>
        <w:t>• Architecture Review Board (ARB) and Change Control Board (CCB) provide formal decision and change governance.</w:t>
      </w:r>
    </w:p>
    <w:p>
      <w:r>
        <w:t>• Policy-as-code governs cloud configurations; exceptions must be time-bound and approved.</w:t>
      </w:r>
    </w:p>
    <w:p>
      <w:r>
        <w:t>• Metrics/OKRs roll up to AO leadership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