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Discovery and Inventory Method</w:t>
      </w:r>
    </w:p>
    <w:p>
      <w:r>
        <w:t>Date: 2025-11-12</w:t>
      </w:r>
    </w:p>
    <w:p/>
    <w:p>
      <w:r>
        <w:t>Infrastructure Discovery</w:t>
      </w:r>
    </w:p>
    <w:p>
      <w:r>
        <w:t>• Automated collectors plus interviews to enumerate compute, storage, network, interdependencies, and performance baselines.</w:t>
      </w:r>
    </w:p>
    <w:p>
      <w:r>
        <w:t>Software &amp; Data Discovery</w:t>
      </w:r>
    </w:p>
    <w:p>
      <w:r>
        <w:t>• Application inventory, runtimes, databases, integrations; data classes, flows, retention, encryption needs.</w:t>
      </w:r>
    </w:p>
    <w:p>
      <w:r>
        <w:t>7R Strategy Decision</w:t>
      </w:r>
    </w:p>
    <w:p>
      <w:r>
        <w:t>• Rehost, Replatform, Refactor, Repurchase, Retire, Retain, Relocate — recorded with blockers and remediation.</w:t>
      </w:r>
    </w:p>
    <w:p>
      <w:r>
        <w:t>Readiness Scoring</w:t>
      </w:r>
    </w:p>
    <w:p>
      <w:r>
        <w:t>• Complexity, risk, sensitivity, criticality, and scheduling constraints to group courts into waves.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