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Data Classification and Tagging Baseline</w:t>
      </w:r>
    </w:p>
    <w:p>
      <w:r>
        <w:t>Date: 2025-11-12</w:t>
      </w:r>
    </w:p>
    <w:p/>
    <w:p>
      <w:r>
        <w:t>Classes</w:t>
      </w:r>
    </w:p>
    <w:p>
      <w:r>
        <w:t>• Public, Internal, Sensitive (PII/finance/health/justice), Sealed/Protected.</w:t>
      </w:r>
    </w:p>
    <w:p>
      <w:r>
        <w:t>• Treat Sensitive/Sealed with FedRAMP High–equivalent protections; if IL5-like rigor is required, use enclave isolation and enhanced controls.</w:t>
      </w:r>
    </w:p>
    <w:p>
      <w:r>
        <w:t>• If IL6 (classified) is mandated, use only approved classified environments following governing policy.</w:t>
      </w:r>
    </w:p>
    <w:p>
      <w:r>
        <w:t>Required Tags (minimum)</w:t>
      </w:r>
    </w:p>
    <w:p>
      <w:r>
        <w:t>• court_id, system_id, data_class, owner, env, region, rto, rpo, retention, pii (yes/no), cjis (yes/no), encryption_key_id.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