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Identity and Network Baseline — Ingress and Egress</w:t>
      </w:r>
    </w:p>
    <w:p>
      <w:r>
        <w:t>Date: 2025-11-12</w:t>
      </w:r>
    </w:p>
    <w:p/>
    <w:p>
      <w:r>
        <w:t>• Federate to central IdP using OIDC/SAML; enforce MFA; SCIM/JIT provisioning where available.</w:t>
      </w:r>
    </w:p>
    <w:p>
      <w:r>
        <w:t>• Ingress: WAF and load balancers; TLS 1.2+; mutual TLS for admin endpoints.</w:t>
      </w:r>
    </w:p>
    <w:p>
      <w:r>
        <w:t>• Egress: default deny; allow-lists; egress proxies/NAT; DNS controls; DLP for SaaS egress.</w:t>
      </w:r>
    </w:p>
    <w:p>
      <w:r>
        <w:t>• Prefer private endpoints/service endpoints for PaaS; avoid public exposure for admin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