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Cloud Provider Selection Framework</w:t>
      </w:r>
    </w:p>
    <w:p>
      <w:r>
        <w:t>Date: 2025-11-12</w:t>
      </w:r>
    </w:p>
    <w:p/>
    <w:p>
      <w:r>
        <w:t>Score each court/workload and compute weighted totals to recommend a provider (or multi-cloud).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Criterion</w:t>
            </w:r>
          </w:p>
        </w:tc>
        <w:tc>
          <w:tcPr>
            <w:tcW w:type="dxa" w:w="1728"/>
          </w:tcPr>
          <w:p>
            <w:r>
              <w:t>Weight (0–5)</w:t>
            </w:r>
          </w:p>
        </w:tc>
        <w:tc>
          <w:tcPr>
            <w:tcW w:type="dxa" w:w="1728"/>
          </w:tcPr>
          <w:p>
            <w:r>
              <w:t>Score (0–5)</w:t>
            </w:r>
          </w:p>
        </w:tc>
        <w:tc>
          <w:tcPr>
            <w:tcW w:type="dxa" w:w="1728"/>
          </w:tcPr>
          <w:p>
            <w:r>
              <w:t>Weighted Score</w:t>
            </w:r>
          </w:p>
        </w:tc>
        <w:tc>
          <w:tcPr>
            <w:tcW w:type="dxa" w:w="1728"/>
          </w:tcPr>
          <w:p>
            <w:r>
              <w:t>Notes</w:t>
            </w:r>
          </w:p>
        </w:tc>
      </w:tr>
      <w:tr>
        <w:tc>
          <w:tcPr>
            <w:tcW w:type="dxa" w:w="1728"/>
          </w:tcPr>
          <w:p>
            <w:r>
              <w:t>Compliance &amp; Residency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Latency &amp; Network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Required Services/PaaS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Identity/Access Fit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License/Contract Leverage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Cost/FinOps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Resilience/DR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Data Gravity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Portability/Exit Risk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