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AI and ML Governance Basics</w:t>
      </w:r>
    </w:p>
    <w:p>
      <w:r>
        <w:t>Date: 2025-11-12</w:t>
      </w:r>
    </w:p>
    <w:p/>
    <w:p>
      <w:r>
        <w:t>• Model risk management; human-in-the-loop for sensitive decisions; auditability and logging.</w:t>
      </w:r>
    </w:p>
    <w:p>
      <w:r>
        <w:t>• No public endpoints for Sensitive/Sealed data; private networking; least-privilege access to features and models.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