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sz w:val="28"/>
        </w:rPr>
        <w:t>ATO Overview and Artifact Map</w:t>
      </w:r>
    </w:p>
    <w:p>
      <w:r>
        <w:t>Date: 2025-11-12</w:t>
      </w:r>
    </w:p>
    <w:p/>
    <w:p>
      <w:r>
        <w:t>• Objective: Obtain ATO for the platform and workloads using FedRAMP-aligned controls.</w:t>
      </w:r>
    </w:p>
    <w:p>
      <w:r>
        <w:t>• Categorization: Mixed impact with shared services at Moderate; segmented enclaves for High-equivalent workloads.</w:t>
      </w:r>
    </w:p>
    <w:p>
      <w:r>
        <w:t>• Artifact Map: SSP, FIPS 199, Control Implementation Summary, Customer Responsibility Matrix, POA&amp;M, ConMon Strategy, SAP/SAR, IR Playbooks.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