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Onboarding Checklist — Per Court</w:t>
      </w:r>
    </w:p>
    <w:p>
      <w:r>
        <w:t>Date: 2025-11-12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Detail/Owner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Evidence/Notes</w:t>
            </w:r>
          </w:p>
        </w:tc>
      </w:tr>
      <w:tr>
        <w:tc>
          <w:tcPr>
            <w:tcW w:type="dxa" w:w="2160"/>
          </w:tcPr>
          <w:p>
            <w:r>
              <w:t>Court profile completed (contacts, locations)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Security roles assigned (IT Lead, Admins, Auditors)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Identity federation connected, MFA enforced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User hierarchy verified (joiner/mover/leaver)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Network connectivity validated (ingress/egress)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Data classification completed (Public/Internal/Sensitive/Sealed)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Tagging baseline applied (court_id, data_class, owner, env, rto, rpo)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Infrastructure inventory captured (hosts, VMs, storage, network)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Software inventory captured (apps, DBs, integrations)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7R assessment done per application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Cloud provider selection completed (scorecard)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Migration wave assigned; readiness gates passed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CI/CD access and repo structure provisioned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Monitoring, logging, backup policies applied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