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Contract Baseline and Interpretations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Map contract SOW sections to deliverables, acceptance criteria, and responsible owners. Note assumptions, constraints, and clarifications agreed with AOUSC.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SOW Ref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Deliverable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Assumptions/Notes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