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Management Plan (PMP)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Governance Linkage: ARB/CCB/ECAB processes and authorities.</w:t>
      </w:r>
    </w:p>
    <w:p>
      <w:r>
        <w:rPr>
          <w:rFonts w:ascii="Times New Roman" w:hAnsi="Times New Roman"/>
          <w:color w:val="000000"/>
          <w:sz w:val="22"/>
        </w:rPr>
        <w:t>• Team Structure: roles, RACI reference, vendor/court interfaces.</w:t>
      </w:r>
    </w:p>
    <w:p>
      <w:r>
        <w:rPr>
          <w:rFonts w:ascii="Times New Roman" w:hAnsi="Times New Roman"/>
          <w:color w:val="000000"/>
          <w:sz w:val="22"/>
        </w:rPr>
        <w:t>• Controls: scope, schedule, cost, quality, communications, risks, changes.</w:t>
      </w:r>
    </w:p>
    <w:p>
      <w:r>
        <w:rPr>
          <w:rFonts w:ascii="Times New Roman" w:hAnsi="Times New Roman"/>
          <w:color w:val="000000"/>
          <w:sz w:val="22"/>
        </w:rPr>
        <w:t>• Records: repositories, naming, versioning; Word-only rule enforcement.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