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Transition-In Plan (0-30-60-90)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b/>
          <w:color w:val="000000"/>
          <w:sz w:val="22"/>
        </w:rPr>
        <w:t>Day 0–30</w:t>
      </w:r>
    </w:p>
    <w:p>
      <w:r>
        <w:rPr>
          <w:rFonts w:ascii="Times New Roman" w:hAnsi="Times New Roman"/>
          <w:color w:val="000000"/>
          <w:sz w:val="22"/>
        </w:rPr>
        <w:t>• Contract kickoff, artifact handoff, baseline discovery, tool access, initial wave plan</w:t>
      </w:r>
    </w:p>
    <w:p>
      <w:r>
        <w:rPr>
          <w:rFonts w:ascii="Times New Roman" w:hAnsi="Times New Roman"/>
          <w:b/>
          <w:color w:val="000000"/>
          <w:sz w:val="22"/>
        </w:rPr>
        <w:t>Day 31–60</w:t>
      </w:r>
    </w:p>
    <w:p>
      <w:r>
        <w:rPr>
          <w:rFonts w:ascii="Times New Roman" w:hAnsi="Times New Roman"/>
          <w:color w:val="000000"/>
          <w:sz w:val="22"/>
        </w:rPr>
        <w:t>• Pilot court onboarding, provider selection application, LZ hardening, playbook validation</w:t>
      </w:r>
    </w:p>
    <w:p>
      <w:r>
        <w:rPr>
          <w:rFonts w:ascii="Times New Roman" w:hAnsi="Times New Roman"/>
          <w:b/>
          <w:color w:val="000000"/>
          <w:sz w:val="22"/>
        </w:rPr>
        <w:t>Day 61–90</w:t>
      </w:r>
    </w:p>
    <w:p>
      <w:r>
        <w:rPr>
          <w:rFonts w:ascii="Times New Roman" w:hAnsi="Times New Roman"/>
          <w:color w:val="000000"/>
          <w:sz w:val="22"/>
        </w:rPr>
        <w:t>• Expand to first migration wave, finalize cadence, full reporting &amp; dashboards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