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RAID Log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 Model: unique IDs, category, impact, likelihood, owner, due dates.</w:t>
      </w:r>
    </w:p>
    <w:p>
      <w:r>
        <w:rPr>
          <w:rFonts w:ascii="Times New Roman" w:hAnsi="Times New Roman"/>
          <w:color w:val="000000"/>
          <w:sz w:val="22"/>
        </w:rPr>
        <w:t>• Lifecycle: capture, triage, mitigation, closure, and weekly review.</w:t>
      </w:r>
    </w:p>
    <w:p>
      <w:r>
        <w:rPr>
          <w:rFonts w:ascii="Times New Roman" w:hAnsi="Times New Roman"/>
          <w:color w:val="000000"/>
          <w:sz w:val="22"/>
        </w:rPr>
        <w:t>• Integration: cross-link to changes, exceptions, and POA&amp;M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 (R/A/I/D)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Likelihood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