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Segmentation &amp; Wave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Segmentation: region, size, complexity, blackout windows, dependencies.</w:t>
      </w:r>
    </w:p>
    <w:p>
      <w:r>
        <w:rPr>
          <w:rFonts w:ascii="Times New Roman" w:hAnsi="Times New Roman"/>
          <w:color w:val="000000"/>
          <w:sz w:val="22"/>
        </w:rPr>
        <w:t>• Waves: batch courts by readiness score and shared constraints.</w:t>
      </w:r>
    </w:p>
    <w:p>
      <w:r>
        <w:rPr>
          <w:rFonts w:ascii="Times New Roman" w:hAnsi="Times New Roman"/>
          <w:color w:val="000000"/>
          <w:sz w:val="22"/>
        </w:rPr>
        <w:t>• Cutover Windows: align to court calendars; DR rehearsal before each wave.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Region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Readiness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Wave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