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Quality Assurance &amp; Test Strategy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Test Types: functional, performance, security, DR/failover, usability where applicable.</w:t>
      </w:r>
    </w:p>
    <w:p>
      <w:r>
        <w:rPr>
          <w:rFonts w:ascii="Times New Roman" w:hAnsi="Times New Roman"/>
          <w:color w:val="000000"/>
          <w:sz w:val="22"/>
        </w:rPr>
        <w:t>• Environments: dev/test/stage/prod with promotion criteria.</w:t>
      </w:r>
    </w:p>
    <w:p>
      <w:r>
        <w:rPr>
          <w:rFonts w:ascii="Times New Roman" w:hAnsi="Times New Roman"/>
          <w:color w:val="000000"/>
          <w:sz w:val="22"/>
        </w:rPr>
        <w:t>• Defect Handling: severity levels, SLA, rollback triggers.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Test Type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Entry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Exit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