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Management (Org Change &amp; Training)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Training: role-based curriculum; admin vs. user paths; court onboarding sessions.</w:t>
      </w:r>
    </w:p>
    <w:p>
      <w:r>
        <w:rPr>
          <w:rFonts w:ascii="Times New Roman" w:hAnsi="Times New Roman"/>
          <w:color w:val="000000"/>
          <w:sz w:val="22"/>
        </w:rPr>
        <w:t>• Materials: guides, FAQs, videos (links), office hours; attendance tracking.</w:t>
      </w:r>
    </w:p>
    <w:p>
      <w:r>
        <w:rPr>
          <w:rFonts w:ascii="Times New Roman" w:hAnsi="Times New Roman"/>
          <w:color w:val="000000"/>
          <w:sz w:val="22"/>
        </w:rPr>
        <w:t>• Adoption Metrics: usage, satisfaction, incident volume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