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Security, Privacy &amp; ATO Execution Strategy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SSP Ownership: control implementations and evidence plan.</w:t>
      </w:r>
    </w:p>
    <w:p>
      <w:r>
        <w:rPr>
          <w:rFonts w:ascii="Times New Roman" w:hAnsi="Times New Roman"/>
          <w:color w:val="000000"/>
          <w:sz w:val="22"/>
        </w:rPr>
        <w:t>• POA&amp;M: update cycle and remediation priorities.</w:t>
      </w:r>
    </w:p>
    <w:p>
      <w:r>
        <w:rPr>
          <w:rFonts w:ascii="Times New Roman" w:hAnsi="Times New Roman"/>
          <w:color w:val="000000"/>
          <w:sz w:val="22"/>
        </w:rPr>
        <w:t>• ConMon: monthly scans, weekly config checks, daily log analytics; assessor coordination.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