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Governance, Retention, eDiscovery, Legal Holds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 ownership and stewardship; retention schedules and holds.</w:t>
      </w:r>
    </w:p>
    <w:p>
      <w:r>
        <w:rPr>
          <w:rFonts w:ascii="Times New Roman" w:hAnsi="Times New Roman"/>
          <w:color w:val="000000"/>
          <w:sz w:val="22"/>
        </w:rPr>
        <w:t>• Classification/tagging inheritance; encryption and key governance.</w:t>
      </w:r>
    </w:p>
    <w:p>
      <w:r>
        <w:rPr>
          <w:rFonts w:ascii="Times New Roman" w:hAnsi="Times New Roman"/>
          <w:color w:val="000000"/>
          <w:sz w:val="22"/>
        </w:rPr>
        <w:t>• Legal Requests: standardized intake, tracking, and fulfillment.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