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&amp; Budget Management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Budgeting: forecast by wave; unit economics per workload; commitments (SP/RI).</w:t>
      </w:r>
    </w:p>
    <w:p>
      <w:r>
        <w:rPr>
          <w:rFonts w:ascii="Times New Roman" w:hAnsi="Times New Roman"/>
          <w:color w:val="000000"/>
          <w:sz w:val="22"/>
        </w:rPr>
        <w:t>• Controls: budgets, alerts, anomaly response, chargeback/showback options.</w:t>
      </w:r>
    </w:p>
    <w:p>
      <w:r>
        <w:rPr>
          <w:rFonts w:ascii="Times New Roman" w:hAnsi="Times New Roman"/>
          <w:color w:val="000000"/>
          <w:sz w:val="22"/>
        </w:rPr>
        <w:t>• Reporting: monthly exec summaries and variance analysis.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Cost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