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Reporting &amp; Dashboards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Audiences: executives vs. operations; drill-down details for courts.</w:t>
      </w:r>
    </w:p>
    <w:p>
      <w:r>
        <w:rPr>
          <w:rFonts w:ascii="Times New Roman" w:hAnsi="Times New Roman"/>
          <w:color w:val="000000"/>
          <w:sz w:val="22"/>
        </w:rPr>
        <w:t>• Content: schedule health, risks, costs, security posture, migration progress.</w:t>
      </w:r>
    </w:p>
    <w:p>
      <w:r>
        <w:rPr>
          <w:rFonts w:ascii="Times New Roman" w:hAnsi="Times New Roman"/>
          <w:color w:val="000000"/>
          <w:sz w:val="22"/>
        </w:rPr>
        <w:t>• Delivery: monthly packet; weekly snapshot; live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