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Exit &amp; Transition-Out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Knowledge transfer: runbooks, as-built documentation, admin training.</w:t>
      </w:r>
    </w:p>
    <w:p>
      <w:r>
        <w:rPr>
          <w:rFonts w:ascii="Times New Roman" w:hAnsi="Times New Roman"/>
          <w:color w:val="000000"/>
          <w:sz w:val="22"/>
        </w:rPr>
        <w:t>• Asset handoff: code, configs, keys, accounts, tickets, reports.</w:t>
      </w:r>
    </w:p>
    <w:p>
      <w:r>
        <w:rPr>
          <w:rFonts w:ascii="Times New Roman" w:hAnsi="Times New Roman"/>
          <w:color w:val="000000"/>
          <w:sz w:val="22"/>
        </w:rPr>
        <w:t>• Offboarding: access removals, contract closeout, archival and retention.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