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10_STRATEGY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02_Contract_Baseline_and_Interpretations.docx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03_Deliverables_Matrix_(CDRL)_and_Acceptance_Criteria.docx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04_Program_Management_Plan_(PMP).docx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05_Integrated_Master_Schedule_(IMS)_and_Milestones.docx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06_Transition-In_Plan_(0-30-60-90).docx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07_Operating_Cadence_and_Calendar.docx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08_Risk-Issue-Decision_(RAID)_Log_Strategy.docx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09_Stakeholder_Engagement_&amp;_Comms_Plan.docx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10_Court_Segmentation_&amp;_Wave_Strategy.docx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11_Provider_Selection_Application.docx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12_Migration_Strategy_&amp;_Readiness_Gates.docx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13_Quality_Assurance_&amp;_Test_Strategy.docx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14_Change_Management_(Org_Change_&amp;_Training).docx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15_Security_Privacy_&amp;_ATO_Execution_Strategy.docx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16_Data_Governance_Retention_eDiscovery_Legal_Holds.docx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17_FinOps_&amp;_Budget_Management_Strategy.docx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18_Reporting_&amp;_Dashboards.docx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19_Exit_&amp;_Transition-Out_Strategy.docx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20_Index_of_Documents.docx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