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Cloud Center of Excellence (CCoE) Charter</w:t>
      </w:r>
    </w:p>
    <w:p>
      <w:r>
        <w:t>Date: 2025-11-12</w:t>
      </w:r>
    </w:p>
    <w:p/>
    <w:p>
      <w:r>
        <w:t>• Mission: Standardize secure, efficient cloud adoption and operations across approximately 300 courts.</w:t>
      </w:r>
    </w:p>
    <w:p>
      <w:r>
        <w:t>• Scope: Landing zones, security guardrails, migration factory, platform services, and operations.</w:t>
      </w:r>
    </w:p>
    <w:p>
      <w:r>
        <w:t>• Decision Rights: CCoE approves architecture standards, provider selections, and policy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