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Governance &amp; Operating Model</w:t>
      </w:r>
    </w:p>
    <w:p>
      <w:r>
        <w:t>Date: 2025-11-12</w:t>
      </w:r>
    </w:p>
    <w:p/>
    <w:p>
      <w:r>
        <w:t>• Councils: Architecture, Security, Network, Data, App, FinOps.</w:t>
      </w:r>
    </w:p>
    <w:p>
      <w:r>
        <w:t>• Boards: ARB (design approvals), CCB (changes), ECAB (emergency).</w:t>
      </w:r>
    </w:p>
    <w:p>
      <w:r>
        <w:t>• Policy-as-code enforces standards; exceptions are time-bound and tracked.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