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Architecture Review Board (ARB) Charter</w:t>
      </w:r>
    </w:p>
    <w:p>
      <w:r>
        <w:t>Date: 2025-11-12</w:t>
      </w:r>
    </w:p>
    <w:p/>
    <w:p>
      <w:r>
        <w:t>• Purpose: Ensure designs meet standards, security, and business outcomes.</w:t>
      </w:r>
    </w:p>
    <w:p>
      <w:r>
        <w:t>• Scope: New systems, significant changes, provider choices, data classifications.</w:t>
      </w:r>
    </w:p>
    <w:p>
      <w:r>
        <w:t>• Cadence: Weekly; quorum rules; submission and review templates.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