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Change Control Board (CCB) Charter</w:t>
      </w:r>
    </w:p>
    <w:p>
      <w:r>
        <w:t>Date: 2025-11-12</w:t>
      </w:r>
    </w:p>
    <w:p/>
    <w:p>
      <w:r>
        <w:t>• Purpose: Govern production changes with risk-aware approvals and scheduling.</w:t>
      </w:r>
    </w:p>
    <w:p>
      <w:r>
        <w:t>• Change Windows: Standard windows; court calendar-aware scheduling.</w:t>
      </w:r>
    </w:p>
    <w:p>
      <w:r>
        <w:t>• ECAB: Emergency path for Sev1 fixes with post-implementation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