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Policy-as-Code Standard</w:t>
      </w:r>
    </w:p>
    <w:p>
      <w:r>
        <w:t>Date: 2025-11-12</w:t>
      </w:r>
    </w:p>
    <w:p/>
    <w:p>
      <w:r>
        <w:t>• Use native controls (SCP/Config, Azure Policy, Org Policy, Security Zones) and OPA in CI/CD.</w:t>
      </w:r>
    </w:p>
    <w:p>
      <w:r>
        <w:t>• Tag enforcement, encryption, network segmentation, image hardening, drift detection.</w:t>
      </w:r>
    </w:p>
    <w:p>
      <w:r>
        <w:t>• Evidence: automated reports stored for audits; violations create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