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Change Types and Workflow</w:t>
      </w:r>
    </w:p>
    <w:p>
      <w: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Risk</w:t>
            </w:r>
          </w:p>
        </w:tc>
        <w:tc>
          <w:tcPr>
            <w:tcW w:type="dxa" w:w="1728"/>
          </w:tcPr>
          <w:p>
            <w:r>
              <w:t>Approval</w:t>
            </w:r>
          </w:p>
        </w:tc>
        <w:tc>
          <w:tcPr>
            <w:tcW w:type="dxa" w:w="1728"/>
          </w:tcPr>
          <w:p>
            <w:r>
              <w:t>Lead Time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Standard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Change Manager</w:t>
            </w:r>
          </w:p>
        </w:tc>
        <w:tc>
          <w:tcPr>
            <w:tcW w:type="dxa" w:w="1728"/>
          </w:tcPr>
          <w:p>
            <w:r>
              <w:t>&lt; 24h</w:t>
            </w:r>
          </w:p>
        </w:tc>
        <w:tc>
          <w:tcPr>
            <w:tcW w:type="dxa" w:w="1728"/>
          </w:tcPr>
          <w:p>
            <w:r>
              <w:t>Pre-approved, templated changes</w:t>
            </w:r>
          </w:p>
        </w:tc>
      </w:tr>
      <w:tr>
        <w:tc>
          <w:tcPr>
            <w:tcW w:type="dxa" w:w="1728"/>
          </w:tcPr>
          <w:p>
            <w:r>
              <w:t>Normal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CCB</w:t>
            </w:r>
          </w:p>
        </w:tc>
        <w:tc>
          <w:tcPr>
            <w:tcW w:type="dxa" w:w="1728"/>
          </w:tcPr>
          <w:p>
            <w:r>
              <w:t>3–5 days</w:t>
            </w:r>
          </w:p>
        </w:tc>
        <w:tc>
          <w:tcPr>
            <w:tcW w:type="dxa" w:w="1728"/>
          </w:tcPr>
          <w:p>
            <w:r>
              <w:t>Requires testing and backout plan</w:t>
            </w:r>
          </w:p>
        </w:tc>
      </w:tr>
      <w:tr>
        <w:tc>
          <w:tcPr>
            <w:tcW w:type="dxa" w:w="1728"/>
          </w:tcPr>
          <w:p>
            <w:r>
              <w:t>Major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CCB + Sponsor</w:t>
            </w:r>
          </w:p>
        </w:tc>
        <w:tc>
          <w:tcPr>
            <w:tcW w:type="dxa" w:w="1728"/>
          </w:tcPr>
          <w:p>
            <w:r>
              <w:t>5–10 days</w:t>
            </w:r>
          </w:p>
        </w:tc>
        <w:tc>
          <w:tcPr>
            <w:tcW w:type="dxa" w:w="1728"/>
          </w:tcPr>
          <w:p>
            <w:r>
              <w:t>High impact or broad scope</w:t>
            </w:r>
          </w:p>
        </w:tc>
      </w:tr>
      <w:tr>
        <w:tc>
          <w:tcPr>
            <w:tcW w:type="dxa" w:w="1728"/>
          </w:tcPr>
          <w:p>
            <w:r>
              <w:t>Emergency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ECAB</w:t>
            </w:r>
          </w:p>
        </w:tc>
        <w:tc>
          <w:tcPr>
            <w:tcW w:type="dxa" w:w="1728"/>
          </w:tcPr>
          <w:p>
            <w:r>
              <w:t>Immediate</w:t>
            </w:r>
          </w:p>
        </w:tc>
        <w:tc>
          <w:tcPr>
            <w:tcW w:type="dxa" w:w="1728"/>
          </w:tcPr>
          <w:p>
            <w:r>
              <w:t>Post-implementation review required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