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Metrics, OKRs, and Dashboards</w:t>
      </w:r>
    </w:p>
    <w:p>
      <w:r>
        <w:t>Date: 2025-11-12</w:t>
      </w:r>
    </w:p>
    <w:p/>
    <w:p>
      <w:r>
        <w:t>• Security: patch currency, control pass rate, MTTR, incident rates.</w:t>
      </w:r>
    </w:p>
    <w:p>
      <w:r>
        <w:t>• Delivery: lead time for changes, deployment frequency, change failure rate.</w:t>
      </w:r>
    </w:p>
    <w:p>
      <w:r>
        <w:t>• Financial: budget adherence, unit cost per workload, anomaly resolution time.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