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Audit and Reporting Schedule</w:t>
      </w:r>
    </w:p>
    <w:p>
      <w: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Artifact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Audience</w:t>
            </w:r>
          </w:p>
        </w:tc>
      </w:tr>
      <w:tr>
        <w:tc>
          <w:tcPr>
            <w:tcW w:type="dxa" w:w="2160"/>
          </w:tcPr>
          <w:p>
            <w:r>
              <w:t>ConMon Dashboard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AO leadership, CCoE</w:t>
            </w:r>
          </w:p>
        </w:tc>
      </w:tr>
      <w:tr>
        <w:tc>
          <w:tcPr>
            <w:tcW w:type="dxa" w:w="2160"/>
          </w:tcPr>
          <w:p>
            <w:r>
              <w:t>Control Testing Report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AO leadership</w:t>
            </w:r>
          </w:p>
        </w:tc>
      </w:tr>
      <w:tr>
        <w:tc>
          <w:tcPr>
            <w:tcW w:type="dxa" w:w="2160"/>
          </w:tcPr>
          <w:p>
            <w:r>
              <w:t>Change Review Report</w:t>
            </w:r>
          </w:p>
        </w:tc>
        <w:tc>
          <w:tcPr>
            <w:tcW w:type="dxa" w:w="2160"/>
          </w:tcPr>
          <w:p>
            <w:r>
              <w:t>Change Manager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ARB/CCB</w:t>
            </w:r>
          </w:p>
        </w:tc>
      </w:tr>
      <w:tr>
        <w:tc>
          <w:tcPr>
            <w:tcW w:type="dxa" w:w="2160"/>
          </w:tcPr>
          <w:p>
            <w:r>
              <w:t>Cost &amp; Usage Report</w:t>
            </w:r>
          </w:p>
        </w:tc>
        <w:tc>
          <w:tcPr>
            <w:tcW w:type="dxa" w:w="2160"/>
          </w:tcPr>
          <w:p>
            <w:r>
              <w:t>FinOps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AO leadership, Courts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