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Compliance Mapping — NIST/FedRAMP</w:t>
      </w:r>
    </w:p>
    <w:p>
      <w:r>
        <w:t>Date: 2025-11-12</w:t>
      </w:r>
    </w:p>
    <w:p/>
    <w:p>
      <w:r>
        <w:t>• Map guardrails and processes to 800-53 Rev. 5 families (AC, AU, CM, CP, IA, IR, RA, SC, SI).</w:t>
      </w:r>
    </w:p>
    <w:p>
      <w:r>
        <w:t>• Reference inheritance from cloud providers; define system-specific implementations.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