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Governance Communications Plan</w:t>
      </w:r>
    </w:p>
    <w:p>
      <w:r>
        <w:t>Date: 2025-11-12</w:t>
      </w:r>
    </w:p>
    <w:p/>
    <w:p>
      <w:r>
        <w:t>• Stakeholders: AO leadership, CCoE members, Court IT leads, Vendors.</w:t>
      </w:r>
    </w:p>
    <w:p>
      <w:r>
        <w:t>• Cadence: weekly ARB/CCB; monthly leadership; wave kickoff/closeout comms.</w:t>
      </w:r>
    </w:p>
    <w:p>
      <w:r>
        <w:t>• Channels: email templates, meeting agendas, decision/stakeholder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