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Governance Onboarding — Per Court</w:t>
      </w:r>
    </w:p>
    <w:p>
      <w:r>
        <w:t>Date: 2025-11-12</w:t>
      </w:r>
    </w:p>
    <w:p/>
    <w:p>
      <w:r>
        <w:t>• Provide local delegates to ARB/CCB; confirm change windows and blackout dates.</w:t>
      </w:r>
    </w:p>
    <w:p>
      <w:r>
        <w:t>• Adopt tagging policy and data classification; nominate local approvers.</w:t>
      </w:r>
    </w:p>
    <w:p>
      <w:r>
        <w:t>• Confirm incident bridge, escalation paths, and comms preferences.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