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Architecture Methodology and Principles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Court isolation by account/subscription/project/tenancy with shared services.</w:t>
      </w:r>
    </w:p>
    <w:p>
      <w:r>
        <w:rPr>
          <w:rFonts w:ascii="Times New Roman" w:hAnsi="Times New Roman"/>
          <w:color w:val="000000"/>
          <w:sz w:val="22"/>
        </w:rPr>
        <w:t>• Zero Trust defaults; private-first networking; encryption-in-use/readiness where possible.</w:t>
      </w:r>
    </w:p>
    <w:p>
      <w:r>
        <w:rPr>
          <w:rFonts w:ascii="Times New Roman" w:hAnsi="Times New Roman"/>
          <w:color w:val="000000"/>
          <w:sz w:val="22"/>
        </w:rPr>
        <w:t>• Policy-as-code guardrails; drift detection; immutable infrastructure.</w:t>
      </w:r>
    </w:p>
    <w:p>
      <w:r>
        <w:rPr>
          <w:rFonts w:ascii="Times New Roman" w:hAnsi="Times New Roman"/>
          <w:color w:val="000000"/>
          <w:sz w:val="22"/>
        </w:rPr>
        <w:t>• Document decisions via ADRs; prefer proven reference patterns; minimize bespoke work.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