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Provider Selection Decision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Use this weighted matrix per court/workload. Higher total suggests preferred provider; document tie-breakers.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Criterion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 (0–5)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Azure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GCP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OCI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IaaS Impact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PaaS Impact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SaaS Impact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Adjust weights by court priorities; retain evidence and approvals.</w:t>
      </w:r>
    </w:p>
    <w:p>
      <w:r>
        <w:rPr>
          <w:rFonts w:ascii="Times New Roman" w:hAnsi="Times New Roman"/>
          <w:color w:val="000000"/>
          <w:sz w:val="22"/>
        </w:rPr>
        <w:t>• Layer impacts clarify shared responsibility and compliance inheritance.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