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Scenario Decision Trees — Provider Choice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CJIS present? → Choose provider/program with strongest alignment and regional presence.</w:t>
      </w:r>
    </w:p>
    <w:p>
      <w:r>
        <w:rPr>
          <w:rFonts w:ascii="Times New Roman" w:hAnsi="Times New Roman"/>
          <w:color w:val="000000"/>
          <w:sz w:val="22"/>
        </w:rPr>
        <w:t>• Mandatory residency? → Filter to regions/sovereign options; re-score.</w:t>
      </w:r>
    </w:p>
    <w:p>
      <w:r>
        <w:rPr>
          <w:rFonts w:ascii="Times New Roman" w:hAnsi="Times New Roman"/>
          <w:color w:val="000000"/>
          <w:sz w:val="22"/>
        </w:rPr>
        <w:t>• Microsoft license leverage? → Weigh identity/O365/Windows benefits appropriately.</w:t>
      </w:r>
    </w:p>
    <w:p>
      <w:r>
        <w:rPr>
          <w:rFonts w:ascii="Times New Roman" w:hAnsi="Times New Roman"/>
          <w:color w:val="000000"/>
          <w:sz w:val="22"/>
        </w:rPr>
        <w:t>• VMware-heavy near-term? → Consider managed VMware; plan native refactor later.</w:t>
      </w:r>
    </w:p>
    <w:p>
      <w:r>
        <w:rPr>
          <w:rFonts w:ascii="Times New Roman" w:hAnsi="Times New Roman"/>
          <w:color w:val="000000"/>
          <w:sz w:val="22"/>
        </w:rPr>
        <w:t>• Advanced analytics/AI dependencies? → Score by managed services fit and private endpoints.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