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Service Equivalency Matrix — AWS / Azure / GCP / OCI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Capability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AWS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Azure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GCP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OCI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p>
      <w:r>
        <w:rPr>
          <w:rFonts w:ascii="Times New Roman" w:hAnsi="Times New Roman"/>
          <w:color w:val="000000"/>
          <w:sz w:val="22"/>
        </w:rPr>
        <w:t>• Populate object storage, SQL/NoSQL, cache, messaging, API, serverless, containers, warehouse/lakehouse, ETL, secrets, KMS, monitoring, SIEM, WAF, load balancers.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