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Multi-Cloud and Sovereignty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Pattern A: Single primary cloud per court; shared services centralized.</w:t>
      </w:r>
    </w:p>
    <w:p>
      <w:r>
        <w:rPr>
          <w:rFonts w:ascii="Times New Roman" w:hAnsi="Times New Roman"/>
          <w:color w:val="000000"/>
          <w:sz w:val="22"/>
        </w:rPr>
        <w:t>• Pattern B: Per-workload multi-cloud with data egress controls and cataloged replicas.</w:t>
      </w:r>
    </w:p>
    <w:p>
      <w:r>
        <w:rPr>
          <w:rFonts w:ascii="Times New Roman" w:hAnsi="Times New Roman"/>
          <w:color w:val="000000"/>
          <w:sz w:val="22"/>
        </w:rPr>
        <w:t>• Pattern C: Sovereign enclave for High-impact data; brokered access via private endpoints.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