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Network Connectivity Patterns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Site-to-Cloud: DX / ER / Partner Interconnect / FastConnect; HA design and route control.</w:t>
      </w:r>
    </w:p>
    <w:p>
      <w:r>
        <w:rPr>
          <w:rFonts w:ascii="Times New Roman" w:hAnsi="Times New Roman"/>
          <w:color w:val="000000"/>
          <w:sz w:val="22"/>
        </w:rPr>
        <w:t>• Private Service Access: use provider private endpoints; avoid public admin APIs.</w:t>
      </w:r>
    </w:p>
    <w:p>
      <w:r>
        <w:rPr>
          <w:rFonts w:ascii="Times New Roman" w:hAnsi="Times New Roman"/>
          <w:color w:val="000000"/>
          <w:sz w:val="22"/>
        </w:rPr>
        <w:t>• Name Resolution: split-horizon DNS and conditional forwarding across clouds.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