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Security and Controls Map — Common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Identity: phishing-resistant MFA, privileged access workstations, JIT elevation.</w:t>
      </w:r>
    </w:p>
    <w:p>
      <w:r>
        <w:rPr>
          <w:rFonts w:ascii="Times New Roman" w:hAnsi="Times New Roman"/>
          <w:color w:val="000000"/>
          <w:sz w:val="22"/>
        </w:rPr>
        <w:t>• Data: encryption at rest (KMS/HSM), in transit (TLS 1.2+), backup immutability.</w:t>
      </w:r>
    </w:p>
    <w:p>
      <w:r>
        <w:rPr>
          <w:rFonts w:ascii="Times New Roman" w:hAnsi="Times New Roman"/>
          <w:color w:val="000000"/>
          <w:sz w:val="22"/>
        </w:rPr>
        <w:t>• Monitoring: centralized logs, detections, incident runbooks, automation hooks.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