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VMware-to-Cloud Strategies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Short-term: migrate to managed VMware in chosen cloud; stabilize and backup.</w:t>
      </w:r>
    </w:p>
    <w:p>
      <w:r>
        <w:rPr>
          <w:rFonts w:ascii="Times New Roman" w:hAnsi="Times New Roman"/>
          <w:color w:val="000000"/>
          <w:sz w:val="22"/>
        </w:rPr>
        <w:t>• Mid-term: replatform/refactor candidates; adopt managed PaaS.</w:t>
      </w:r>
    </w:p>
    <w:p>
      <w:r>
        <w:rPr>
          <w:rFonts w:ascii="Times New Roman" w:hAnsi="Times New Roman"/>
          <w:color w:val="000000"/>
          <w:sz w:val="22"/>
        </w:rPr>
        <w:t>• Long-term: retire/repurchase legacy; optimize ops/cost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