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SaaS Integration and Governance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SSO/MFA, SCIM/JIT, DLP/eDiscovery, retention/legal holds.</w:t>
      </w:r>
    </w:p>
    <w:p>
      <w:r>
        <w:rPr>
          <w:rFonts w:ascii="Times New Roman" w:hAnsi="Times New Roman"/>
          <w:color w:val="000000"/>
          <w:sz w:val="22"/>
        </w:rPr>
        <w:t>• FedRAMP authorization status, residency, approved connectors, egress allow-lists.</w:t>
      </w:r>
    </w:p>
    <w:p>
      <w:r>
        <w:rPr>
          <w:rFonts w:ascii="Times New Roman" w:hAnsi="Times New Roman"/>
          <w:color w:val="000000"/>
          <w:sz w:val="22"/>
        </w:rPr>
        <w:t>• Webhook security, audit exports, evidence capture.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