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Landing Zone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 structure: accounts/subscriptions/projects/tenancies.</w:t>
      </w:r>
    </w:p>
    <w:p>
      <w:r>
        <w:rPr>
          <w:rFonts w:ascii="Times New Roman" w:hAnsi="Times New Roman"/>
          <w:color w:val="000000"/>
          <w:sz w:val="22"/>
        </w:rPr>
        <w:t>• Guardrails: policies, SCP/Policy/Org Policy/Security Zones equivalents.</w:t>
      </w:r>
    </w:p>
    <w:p>
      <w:r>
        <w:rPr>
          <w:rFonts w:ascii="Times New Roman" w:hAnsi="Times New Roman"/>
          <w:color w:val="000000"/>
          <w:sz w:val="22"/>
        </w:rPr>
        <w:t>• Provisioning: IaC modules, account vending, baseline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